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C74EC6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D053D4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85</w:t>
      </w:r>
      <w:r w:rsidR="00CF1942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4C4" w:rsidRDefault="0037165A" w:rsidP="00C74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C74EC6">
        <w:rPr>
          <w:rFonts w:ascii="Times New Roman" w:hAnsi="Times New Roman" w:cs="Times New Roman"/>
          <w:b/>
          <w:sz w:val="26"/>
          <w:szCs w:val="26"/>
        </w:rPr>
        <w:t>открытого аукциона в электронной форме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74EC6">
        <w:rPr>
          <w:rFonts w:ascii="Times New Roman" w:hAnsi="Times New Roman" w:cs="Times New Roman"/>
          <w:b/>
          <w:sz w:val="26"/>
          <w:szCs w:val="26"/>
        </w:rPr>
        <w:t>выполнение работ по я</w:t>
      </w:r>
      <w:r w:rsidR="00C74EC6" w:rsidRPr="00C74EC6">
        <w:rPr>
          <w:rFonts w:ascii="Times New Roman" w:hAnsi="Times New Roman" w:cs="Times New Roman"/>
          <w:b/>
          <w:sz w:val="26"/>
          <w:szCs w:val="26"/>
        </w:rPr>
        <w:t>мочному ремонту</w:t>
      </w:r>
      <w:proofErr w:type="gramEnd"/>
      <w:r w:rsidR="00C74EC6" w:rsidRPr="00C74EC6">
        <w:rPr>
          <w:rFonts w:ascii="Times New Roman" w:hAnsi="Times New Roman" w:cs="Times New Roman"/>
          <w:b/>
          <w:sz w:val="26"/>
          <w:szCs w:val="26"/>
        </w:rPr>
        <w:t xml:space="preserve"> автомобильной</w:t>
      </w:r>
      <w:r w:rsidR="00C74EC6">
        <w:rPr>
          <w:rFonts w:ascii="Times New Roman" w:hAnsi="Times New Roman" w:cs="Times New Roman"/>
          <w:b/>
          <w:sz w:val="26"/>
          <w:szCs w:val="26"/>
        </w:rPr>
        <w:t xml:space="preserve"> дороги </w:t>
      </w:r>
    </w:p>
    <w:p w:rsidR="00D053D4" w:rsidRDefault="00C74EC6" w:rsidP="00C74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ул. Лазо с. Фроловка</w:t>
      </w:r>
    </w:p>
    <w:p w:rsidR="00C74EC6" w:rsidRPr="00E970D1" w:rsidRDefault="00C74EC6" w:rsidP="00C74E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D0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C74EC6">
        <w:rPr>
          <w:rFonts w:ascii="Times New Roman" w:hAnsi="Times New Roman" w:cs="Times New Roman"/>
          <w:sz w:val="26"/>
          <w:szCs w:val="26"/>
        </w:rPr>
        <w:t>открытого аукциона в электронной форме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="00C74EC6">
        <w:rPr>
          <w:rFonts w:ascii="Times New Roman" w:hAnsi="Times New Roman" w:cs="Times New Roman"/>
          <w:sz w:val="26"/>
          <w:szCs w:val="26"/>
        </w:rPr>
        <w:t>работ по я</w:t>
      </w:r>
      <w:r w:rsidR="00C74EC6" w:rsidRPr="00C74EC6">
        <w:rPr>
          <w:rFonts w:ascii="Times New Roman" w:hAnsi="Times New Roman" w:cs="Times New Roman"/>
          <w:sz w:val="26"/>
          <w:szCs w:val="26"/>
        </w:rPr>
        <w:t xml:space="preserve">мочному ремонту автомобильной дороги по ул. Лазо с. Фроловка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D0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</w:t>
      </w:r>
      <w:r w:rsidR="00C74EC6">
        <w:rPr>
          <w:rFonts w:ascii="Times New Roman" w:hAnsi="Times New Roman" w:cs="Times New Roman"/>
          <w:color w:val="000000"/>
          <w:sz w:val="26"/>
          <w:szCs w:val="26"/>
        </w:rPr>
        <w:t>электронного аукциона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</w:t>
      </w:r>
      <w:r w:rsidR="00D053D4" w:rsidRPr="00D053D4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C74EC6" w:rsidRPr="00C74EC6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C74EC6">
        <w:rPr>
          <w:rFonts w:ascii="Times New Roman" w:hAnsi="Times New Roman" w:cs="Times New Roman"/>
          <w:sz w:val="26"/>
          <w:szCs w:val="26"/>
        </w:rPr>
        <w:lastRenderedPageBreak/>
        <w:t>я</w:t>
      </w:r>
      <w:r w:rsidR="00C74EC6" w:rsidRPr="00C74EC6">
        <w:rPr>
          <w:rFonts w:ascii="Times New Roman" w:hAnsi="Times New Roman" w:cs="Times New Roman"/>
          <w:sz w:val="26"/>
          <w:szCs w:val="26"/>
        </w:rPr>
        <w:t>мочному ремонту автомобильной дороги по ул. Лазо с. Фроловка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</w:t>
      </w:r>
      <w:r w:rsidR="005A5C71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>проведению торгов на право заключения договоров аренды объектов недвижимости, находящихся в собственности Новицкого сельского</w:t>
      </w:r>
      <w:proofErr w:type="gramEnd"/>
      <w:r w:rsidR="00327C14">
        <w:rPr>
          <w:b w:val="0"/>
          <w:color w:val="000000"/>
          <w:spacing w:val="-6"/>
          <w:sz w:val="26"/>
          <w:szCs w:val="26"/>
        </w:rPr>
        <w:t xml:space="preserve">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поселения»</w:t>
      </w:r>
      <w:r w:rsidR="005A5C71">
        <w:rPr>
          <w:b w:val="0"/>
          <w:color w:val="000000"/>
          <w:spacing w:val="-6"/>
          <w:sz w:val="26"/>
          <w:szCs w:val="26"/>
        </w:rPr>
        <w:t xml:space="preserve"> (в редакции от 17.05.2012 г. № 50; от 08.07.2013 г. № 61)</w:t>
      </w:r>
      <w:r>
        <w:rPr>
          <w:b w:val="0"/>
          <w:color w:val="000000"/>
          <w:spacing w:val="-6"/>
          <w:sz w:val="26"/>
          <w:szCs w:val="26"/>
        </w:rPr>
        <w:t xml:space="preserve">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E01B31" w:rsidRDefault="00E01B31"/>
    <w:p w:rsidR="00C74EC6" w:rsidRDefault="00C74EC6"/>
    <w:p w:rsidR="00C74EC6" w:rsidRDefault="00C74EC6"/>
    <w:p w:rsidR="00C74EC6" w:rsidRDefault="00C74EC6"/>
    <w:p w:rsidR="00C74EC6" w:rsidRDefault="00C74EC6"/>
    <w:p w:rsidR="00C74EC6" w:rsidRDefault="00C74EC6"/>
    <w:p w:rsidR="00E01B31" w:rsidRDefault="00E01B31"/>
    <w:p w:rsidR="00040189" w:rsidRDefault="00124DFB" w:rsidP="0076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7165A" w:rsidRPr="00416E3E" w:rsidRDefault="00040189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124DFB">
        <w:rPr>
          <w:rFonts w:ascii="Times New Roman" w:hAnsi="Times New Roman" w:cs="Times New Roman"/>
          <w:sz w:val="24"/>
          <w:szCs w:val="24"/>
        </w:rPr>
        <w:t xml:space="preserve">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76546B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от </w:t>
      </w:r>
      <w:r w:rsidR="00C74EC6">
        <w:rPr>
          <w:rFonts w:ascii="Times New Roman" w:hAnsi="Times New Roman" w:cs="Times New Roman"/>
          <w:sz w:val="24"/>
          <w:szCs w:val="24"/>
        </w:rPr>
        <w:t>30.08</w:t>
      </w:r>
      <w:r w:rsidR="005708BB" w:rsidRPr="0076546B">
        <w:rPr>
          <w:rFonts w:ascii="Times New Roman" w:hAnsi="Times New Roman" w:cs="Times New Roman"/>
          <w:sz w:val="24"/>
          <w:szCs w:val="24"/>
        </w:rPr>
        <w:t>.201</w:t>
      </w:r>
      <w:r w:rsidR="00100188" w:rsidRPr="0076546B">
        <w:rPr>
          <w:rFonts w:ascii="Times New Roman" w:hAnsi="Times New Roman" w:cs="Times New Roman"/>
          <w:sz w:val="24"/>
          <w:szCs w:val="24"/>
        </w:rPr>
        <w:t>3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 г №</w:t>
      </w:r>
      <w:r w:rsidR="00C74EC6">
        <w:rPr>
          <w:rFonts w:ascii="Times New Roman" w:hAnsi="Times New Roman" w:cs="Times New Roman"/>
          <w:sz w:val="24"/>
          <w:szCs w:val="24"/>
        </w:rPr>
        <w:t xml:space="preserve"> 85</w:t>
      </w:r>
      <w:r w:rsidR="0037165A" w:rsidRPr="0076546B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654C4" w:rsidRPr="005654C4" w:rsidRDefault="00100188" w:rsidP="005654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4754A">
        <w:rPr>
          <w:rFonts w:ascii="Times New Roman" w:hAnsi="Times New Roman" w:cs="Times New Roman"/>
          <w:b/>
          <w:sz w:val="26"/>
          <w:szCs w:val="26"/>
        </w:rPr>
        <w:t xml:space="preserve">заказа путем </w:t>
      </w:r>
      <w:r w:rsidR="005654C4" w:rsidRPr="005654C4">
        <w:rPr>
          <w:rFonts w:ascii="Times New Roman" w:hAnsi="Times New Roman" w:cs="Times New Roman"/>
          <w:b/>
          <w:sz w:val="26"/>
          <w:szCs w:val="26"/>
        </w:rPr>
        <w:t xml:space="preserve">открытого аукциона в электронной форме на право заключения муниципального контракта на выполнение работ по ямочному ремонту автомобильной дороги </w:t>
      </w:r>
    </w:p>
    <w:p w:rsidR="005654C4" w:rsidRDefault="005654C4" w:rsidP="005654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4C4">
        <w:rPr>
          <w:rFonts w:ascii="Times New Roman" w:hAnsi="Times New Roman" w:cs="Times New Roman"/>
          <w:b/>
          <w:sz w:val="26"/>
          <w:szCs w:val="26"/>
        </w:rPr>
        <w:t>по ул. Лазо с. Фроловка</w:t>
      </w:r>
      <w:bookmarkStart w:id="0" w:name="_Toc286407955"/>
    </w:p>
    <w:p w:rsidR="005654C4" w:rsidRDefault="005654C4" w:rsidP="005654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содержанию и составу заявки на участие в открытом аукционе в электронной форме  в соответствии со ст. 41.8 Федерального закона № 94-ФЗ от 21.07.2005 г. и инструкция по ее заполнению.</w:t>
      </w:r>
      <w:bookmarkEnd w:id="0"/>
    </w:p>
    <w:p w:rsidR="005654C4" w:rsidRPr="005654C4" w:rsidRDefault="005654C4" w:rsidP="005654C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Для участия в открытом аукционе в электронной форме участник размещения заказа, получивший аккредитацию на электронной площадке, подает заявку на участие в открытом аукционе в электронной форме.</w:t>
      </w:r>
    </w:p>
    <w:p w:rsidR="005654C4" w:rsidRPr="005654C4" w:rsidRDefault="005654C4" w:rsidP="005654C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Заявка на участие в открытом аукционе в электронной форме  подается  в форме электронного документа и должна быть подписана в соответствии с нормативными правовыми актами Российской Федерации, в том числе  Федеральным законом от 10.01.2002 г.  №1-ФЗ «Об электронной цифровой подписи».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Заявка на участие в открытом аукционе в электронной форме должна состоять из двух частей.</w:t>
      </w:r>
    </w:p>
    <w:p w:rsidR="005654C4" w:rsidRPr="005654C4" w:rsidRDefault="005654C4" w:rsidP="005654C4">
      <w:pPr>
        <w:tabs>
          <w:tab w:val="left" w:pos="-1620"/>
          <w:tab w:val="num" w:pos="432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Первая часть заявки на участие в открытом аукционе в электронной форме должна содержать следующие сведения: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1. </w:t>
      </w:r>
      <w:bookmarkStart w:id="1" w:name="sub_410842"/>
      <w:r w:rsidRPr="005654C4">
        <w:rPr>
          <w:rFonts w:ascii="Times New Roman" w:eastAsia="Times New Roman" w:hAnsi="Times New Roman" w:cs="Times New Roman"/>
          <w:sz w:val="24"/>
          <w:szCs w:val="24"/>
        </w:rPr>
        <w:t>Согласие участника размещения заказа на выполнение работ на условиях, предусмотренных документацией об открытом аукционе в электронной форме</w:t>
      </w:r>
      <w:bookmarkEnd w:id="1"/>
      <w:r w:rsidRPr="00565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bookmarkStart w:id="2" w:name="sub_4108431"/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Согласие, предусмотренное </w:t>
      </w:r>
      <w:hyperlink w:anchor="sub_410842" w:history="1">
        <w:r w:rsidRPr="005654C4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об аукционе, в том числе означающее согласие на использование товара, указание на товарный знак (его словесное обозначение) которого содержится в документации об открытом аукционе, или согласие, предусмотренное пунктом 1 документации об аукционе, указание на товарный знак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об открытом аукционе в электронной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форме, если участник размещения заказа предлагает для использования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 используемого товара</w:t>
      </w:r>
      <w:bookmarkEnd w:id="2"/>
      <w:r w:rsidRPr="00565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Согласие, предусмотренное </w:t>
      </w:r>
      <w:hyperlink w:anchor="sub_410842" w:history="1">
        <w:r w:rsidRPr="005654C4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</w:t>
        </w:r>
      </w:hyperlink>
      <w:r w:rsidRPr="005654C4">
        <w:rPr>
          <w:rFonts w:ascii="Times New Roman" w:eastAsia="Times New Roman" w:hAnsi="Times New Roman" w:cs="Times New Roman"/>
          <w:sz w:val="24"/>
          <w:szCs w:val="24"/>
        </w:rPr>
        <w:t>1 документации об аукционе, а также конкретные показатели, соответствующие значениям, установленным документацией об открытом аукционе в электронной форме, и товарный знак (его словесное обозначение) (при его наличии)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товара.</w:t>
      </w:r>
      <w:proofErr w:type="gramEnd"/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>4. Первая часть заявки на участие в аукционе может содержать эскиз, рисунок, чертеж, фотографию, иное изображение товара, на поставку которого размещается заказ.</w:t>
      </w:r>
    </w:p>
    <w:p w:rsidR="005654C4" w:rsidRPr="005654C4" w:rsidRDefault="005654C4" w:rsidP="0056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Вторая часть заявки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открытом аукционе в электронной форме должна содержать следующие документы и сведения:</w:t>
      </w:r>
    </w:p>
    <w:p w:rsidR="005654C4" w:rsidRPr="005654C4" w:rsidRDefault="005654C4" w:rsidP="0056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</w:t>
      </w:r>
      <w:proofErr w:type="gramEnd"/>
    </w:p>
    <w:p w:rsidR="005654C4" w:rsidRDefault="005654C4" w:rsidP="0056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lastRenderedPageBreak/>
        <w:t>2) решение об одобрении или о совершении крупной сделки либо   копия такого решения в случае, если требование о необходимости наличия   такого решения для  совершения  крупной  сделки  установлено   законодательством Российской Федерации и (или) учредительными документами юридического лица и если для участника размещения заказа поставки  товаров, выполнение работ, оказание услуг, являющихся  предметом  контракта,  или внесение денежных средств в качестве обеспечения заявки  на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участие в открытом аукционе, обеспечения исполнения  контракта  являются  крупной   сделкой. Предоставление указанного решения не требуется в случае, если   начальная (максимальная) цена контракта не превышает  максимальную  сумму сделки, предусмотренную решением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одобрении или о совершении   сделок,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предоставляемым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для  аккредитации  участника  размещения заказа на электронной площадке.</w:t>
      </w:r>
    </w:p>
    <w:p w:rsidR="005654C4" w:rsidRPr="005654C4" w:rsidRDefault="005654C4" w:rsidP="0056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Заявка на участие в открытом аукционе в электронной форме направляется Участником размещения заказа Оператору ЭТП ЗАО «Сбербанк-АСТ» </w:t>
      </w:r>
      <w:hyperlink r:id="rId7" w:history="1">
        <w:r w:rsidRPr="0056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http://sberbank-ast.ru/</w:t>
        </w:r>
      </w:hyperlink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</w: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Инструкция по заполнению заявки Участником  размещения заказа:</w:t>
      </w:r>
    </w:p>
    <w:p w:rsidR="005654C4" w:rsidRPr="005654C4" w:rsidRDefault="005654C4" w:rsidP="0056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>В случае если участник размещения заказа планирует принять участие в открытом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аукционе в электронной форме по нескольким или всем лотам, он должен подготовить и подать заявку на участие в открытом аукционе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(и первую, и вторую части)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каждый лот отдельно.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Заявка на участие в открытом аукционе в 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электронной форме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должна быть заполнена на русском языке. Отдельные документы (или их части), предоставленные участником размещения заказа в составе заявки на участие в открытом аукционе в электронной форме, могут быть подготовлены на другом языке при условии, что к ним будет прилагаться точный перевод необходимых разделов на русский язык.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>Удостоверение верности перевода с иностранного языка на русский язык осуществляется в соответствии со статьей 81 Основ законодательства Российской Федерации о нотариате, утвержденных Верховным Советом РФ 11 февраля 1993 года № 4462-1.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Заявка на участие в открытом аукционе в электронной форме должна быть подписана квалифицированной электронной подписью участника размещения заказа или лица, имеющего право на осуществление действий от имени участника размещения заказа – юридического лица по участию в открытых аукционах в электронной форме (в том числе на регистрацию на открытых аукционах в электронной форме).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Физические лица и индивидуальные предприниматели должны подписывать заявку лично.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>Показатели, характеризующие поставляемые товары (товары, используемые при выполнении работ, оказании услуг), должны соответствовать показателям, установленным в Приложении 1 «Техническое задание на выполнение работ по «</w:t>
      </w:r>
      <w:r w:rsidRPr="005654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Ямочному ремонту автомобильной дороги по ул. Лазо с. Фроловка»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54C4" w:rsidRPr="005654C4" w:rsidRDefault="005654C4" w:rsidP="0056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описании конкретных показателей товара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 Российской Федерации, если иное не указано в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Приложении 1 «Техническое задание на выполнение работ по «</w:t>
      </w:r>
      <w:r w:rsidRPr="005654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Ямочному ремонту автомобильной дороги по ул. Лазо с. Фроловка»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В описании условий и предложений участник размещения заказа не должен допускать двусмысленных толкований.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Сведения, подаваемые в составе заявки представлены</w:t>
      </w:r>
      <w:proofErr w:type="gramEnd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участником размещения заказа заполняются в произвольной форме.</w:t>
      </w:r>
    </w:p>
    <w:p w:rsidR="005654C4" w:rsidRPr="005654C4" w:rsidRDefault="005654C4" w:rsidP="00565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286407956"/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654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Требования </w:t>
      </w:r>
      <w:proofErr w:type="gramStart"/>
      <w:r w:rsidRPr="005654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 обеспечению заявки на участие в открытом аукционе в электронной форме </w:t>
      </w:r>
      <w:r w:rsidRPr="005654C4">
        <w:rPr>
          <w:rFonts w:ascii="Times New Roman" w:eastAsia="Times New Roman" w:hAnsi="Times New Roman" w:cs="Times New Roman"/>
          <w:b/>
          <w:i/>
          <w:sz w:val="24"/>
          <w:szCs w:val="24"/>
        </w:rPr>
        <w:t>в соответствии</w:t>
      </w:r>
      <w:proofErr w:type="gramEnd"/>
      <w:r w:rsidRPr="005654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ч. 5 ст. 41.1 Федерального закона № 94-ФЗ от 21.07.2005</w:t>
      </w:r>
      <w:bookmarkEnd w:id="3"/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установлено требование  обеспечения  заявки  на  участие  в  открытом   аукционе в электронной форме. Размер  обеспечения  заявки  на  участие  в  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открытом аукционе устанавливается в размере: 2</w:t>
      </w: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% от начальной (максимальной) цены, что составляет 1 987 рубля 61 копеек.</w:t>
      </w:r>
    </w:p>
    <w:p w:rsidR="005654C4" w:rsidRPr="005654C4" w:rsidRDefault="005654C4" w:rsidP="005654C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4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Порядок внесения обеспечения заявки: </w:t>
      </w:r>
    </w:p>
    <w:p w:rsidR="005654C4" w:rsidRPr="005654C4" w:rsidRDefault="005654C4" w:rsidP="005654C4">
      <w:pPr>
        <w:numPr>
          <w:ilvl w:val="0"/>
          <w:numId w:val="24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Участие в открытом аукционе в электронной форме возможно при наличии на счете участника размещения заказа, открытом для проведения операций по обеспечению участия в открытых аукционах в электронной форме, денежных средств, в отношении которых не осуществлено блокирование операций по счету, в размере не менее чем размер обеспечения заявки на участие в открытом аукционе в электронной форме, предусмотренный настоящей документацией об открытом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по соответствующему лоту.</w:t>
      </w:r>
    </w:p>
    <w:p w:rsidR="005654C4" w:rsidRPr="005654C4" w:rsidRDefault="005654C4" w:rsidP="005654C4">
      <w:pPr>
        <w:numPr>
          <w:ilvl w:val="0"/>
          <w:numId w:val="24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вносятся на счет участника размещения заказа, открытый оператором электронной площадки для проведения операций по обеспечению участия в открытых аукционах в электронной форме, до регистрации на открытом аукционе в электронной форме. </w:t>
      </w:r>
    </w:p>
    <w:p w:rsidR="005654C4" w:rsidRPr="005654C4" w:rsidRDefault="005654C4" w:rsidP="005654C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заявки является поручением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о блокировании операций по счету в отношении денежных средств в размере обеспечения заявки по соответствующему лоту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открытом аукционе в электронной форме.</w:t>
      </w:r>
    </w:p>
    <w:p w:rsidR="005654C4" w:rsidRPr="005654C4" w:rsidRDefault="005654C4" w:rsidP="005654C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Требование обеспечения заявки на участие в открытом аукционе в электронной форме в равной мере распространяется на всех участников размещения заказа.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Toc286407957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Дата и время окончания срока подачи заявок на участие</w:t>
      </w:r>
      <w:bookmarkEnd w:id="4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" w:name="_Toc286407958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открытом аукционе в электронной форме.</w:t>
      </w:r>
      <w:bookmarkEnd w:id="5"/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Подача заявок на участие в  открытом  аукционе в электронной форме заканчивается</w:t>
      </w:r>
      <w:r w:rsidRPr="005654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5654C4">
        <w:rPr>
          <w:rFonts w:ascii="Times New Roman" w:eastAsia="Times New Roman" w:hAnsi="Times New Roman" w:cs="Times New Roman"/>
          <w:i/>
          <w:sz w:val="24"/>
          <w:szCs w:val="24"/>
        </w:rPr>
        <w:t>«09» сентября 2013 г.</w:t>
      </w:r>
      <w:r w:rsidRPr="005654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654C4">
        <w:rPr>
          <w:rFonts w:ascii="Times New Roman" w:eastAsia="Times New Roman" w:hAnsi="Times New Roman" w:cs="Times New Roman"/>
          <w:i/>
          <w:sz w:val="24"/>
          <w:szCs w:val="24"/>
        </w:rPr>
        <w:t>в 09 ч. 00 мин. по местному  времени.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" w:name="_Toc286407959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Дата </w:t>
      </w:r>
      <w:proofErr w:type="gramStart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окончания срока рассмотрения первых частей заявок</w:t>
      </w:r>
      <w:proofErr w:type="gramEnd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участие  в   открытом  аукционе в электронной форме в соответствии с ч. 2 ст. 41.9 Федерального закона № 94-ФЗ от 21.07.2005 г.</w:t>
      </w:r>
      <w:bookmarkEnd w:id="6"/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Рассмотрение заявок на участие в  открытом  аукционе в электронной форме заканчивается: </w:t>
      </w:r>
      <w:r w:rsidRPr="005654C4">
        <w:rPr>
          <w:rFonts w:ascii="Times New Roman" w:eastAsia="Times New Roman" w:hAnsi="Times New Roman" w:cs="Times New Roman"/>
          <w:i/>
          <w:sz w:val="24"/>
          <w:szCs w:val="24"/>
        </w:rPr>
        <w:t>«10» сентября 2013 г.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7" w:name="_Toc286407960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Дата  проведения  открытого  аукциона  в  электронной    форме</w:t>
      </w:r>
      <w:bookmarkEnd w:id="7"/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8" w:name="_Toc286407961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соответствии с ч. 3 ст. 41.10 Федерального закона № 94-ФЗ от 21.07.2005 г.</w:t>
      </w:r>
      <w:bookmarkEnd w:id="8"/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Открытый аукцион в электронной форме проводится на ЭТП 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 </w:t>
      </w:r>
      <w:hyperlink r:id="rId8" w:history="1">
        <w:r w:rsidRPr="0056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http://sberbank-ast.ru/</w:t>
        </w:r>
      </w:hyperlink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4C4">
        <w:rPr>
          <w:rFonts w:ascii="Times New Roman" w:eastAsia="Times New Roman" w:hAnsi="Times New Roman" w:cs="Times New Roman"/>
          <w:i/>
          <w:sz w:val="24"/>
          <w:szCs w:val="24"/>
        </w:rPr>
        <w:t xml:space="preserve">«13» августа 2013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начала проведения открытого аукциона устанавливается оператором электронной торговой  площадки. 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9" w:name="_Toc286407962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Источник финансирования заказа.</w:t>
      </w:r>
      <w:bookmarkEnd w:id="9"/>
    </w:p>
    <w:p w:rsidR="005654C4" w:rsidRPr="005654C4" w:rsidRDefault="005654C4" w:rsidP="00565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Бюджет Новицкого сельского поселения.</w:t>
      </w:r>
    </w:p>
    <w:p w:rsidR="005654C4" w:rsidRPr="005654C4" w:rsidRDefault="005654C4" w:rsidP="00565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7. Порядок формирования цены контракта.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Цена Контракта включает в себя все расходы Подрядчика, связанные с исполнением настоящего муниципального Контракта </w:t>
      </w:r>
      <w:r w:rsidRPr="005654C4">
        <w:rPr>
          <w:rFonts w:ascii="Times New Roman" w:eastAsia="Times New Roman" w:hAnsi="Times New Roman" w:cs="Times New Roman"/>
          <w:snapToGrid w:val="0"/>
          <w:sz w:val="24"/>
          <w:szCs w:val="24"/>
        </w:rPr>
        <w:t>в полном соответствии с Техническим заданием</w:t>
      </w:r>
      <w:r w:rsidRPr="005654C4">
        <w:rPr>
          <w:rFonts w:ascii="Arial" w:eastAsia="Times New Roman" w:hAnsi="Arial" w:cs="Arial"/>
          <w:sz w:val="24"/>
          <w:szCs w:val="24"/>
        </w:rPr>
        <w:t xml:space="preserve"> 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на выполнение работ по «</w:t>
      </w:r>
      <w:r w:rsidRPr="005654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Ямочному ремонту автомобильной дороги по ул. Лазо с. Фроловка»</w:t>
      </w:r>
      <w:r w:rsidRPr="005654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(Приложение №1 к аукционной документации) и  утвержденным Заказчиком локальным  сметным расчетом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, в том числе стоимость материалов, трудозатраты,  транспортные расходы, погрузочно-разгрузочные работы, охрану материалов на объекте, НДС, налоги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и сборы, другие обязательные платежи и прочие расходы.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654C4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 контракта является фиксированной на весь период действия контракта, изменению и пересмотру не подлежит.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0" w:name="_Toc286407963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  Начальная  (максимальная)  цена  контракта</w:t>
      </w:r>
      <w:bookmarkEnd w:id="10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 обоснование начальной (максимальной) цены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1. Локально сметный расчет на выполнение работ по «</w:t>
      </w:r>
      <w:r w:rsidRPr="005654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Ремонту автомобильной дороги по ул. Лазо с. Фроловка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», составленные в текущих (прогнозных) ценах по состоянию на 1 квартал 2013г.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Начальная (максимальная) цена контракта составляет </w:t>
      </w: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99 380, 78 (Девяноста девять тысяч триста восемьдесят) рублей 78 копеек.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1" w:name="_Toc286407964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9. Сведения о валюте, используемой для формирования цены контракта и</w:t>
      </w:r>
      <w:bookmarkEnd w:id="11"/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12" w:name="_Toc286407965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расчетов с поставщиками (исполнителями, подрядчиками).</w:t>
      </w:r>
      <w:bookmarkEnd w:id="12"/>
    </w:p>
    <w:p w:rsidR="005654C4" w:rsidRPr="005654C4" w:rsidRDefault="005654C4" w:rsidP="005654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654C4">
        <w:rPr>
          <w:rFonts w:ascii="Times New Roman" w:eastAsia="Arial Unicode MS" w:hAnsi="Times New Roman" w:cs="Times New Roman"/>
          <w:sz w:val="24"/>
          <w:szCs w:val="24"/>
        </w:rPr>
        <w:t>Валютой контракта является рубль Российской Федерации.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286407966"/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10. Порядок применения официального курса иностранной валюты к рублю Российской  Федерации,  установленного  Центральным  банком    Российской Федерации и используемого при оплате заключенного  муниципального   контракта.</w:t>
      </w:r>
      <w:bookmarkEnd w:id="13"/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Не применяется.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4" w:name="_Toc286407967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 Размер  обеспечения   исполнения  муниципального контракта, срок и порядок его  предоставления (п. 11 ч. 3 ст. 41.6 Федерального закона № 94-ФЗ от 21.07.2005 г.).</w:t>
      </w:r>
      <w:bookmarkEnd w:id="14"/>
    </w:p>
    <w:p w:rsidR="005654C4" w:rsidRPr="005654C4" w:rsidRDefault="005654C4" w:rsidP="0056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Требование обеспечения исполнения контракта не установлено.</w:t>
      </w:r>
    </w:p>
    <w:p w:rsidR="005654C4" w:rsidRPr="005654C4" w:rsidRDefault="005654C4" w:rsidP="005654C4">
      <w:pPr>
        <w:widowControl w:val="0"/>
        <w:tabs>
          <w:tab w:val="left" w:pos="708"/>
        </w:tabs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3F4"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5" w:name="_Toc286407968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12. Требования к качеству, техническим характеристикам работ,  требования  к  их безопасности,  требования  к    функциональным характеристикам, требования к  результатам  работ  и иные показатели.</w:t>
      </w:r>
      <w:bookmarkEnd w:id="15"/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Участник размещения заказа в случае победы в аукционе должен собственными силами или с привлечением при необходимости иных организаций по договорам возмездного оказания услуг выполнить все виды работ, являющиеся предметом аукциона, собственной или привлеченной для этих целей техникой и оборудованием.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Качество работ определяется достигнутым уровнем содержания дороги и его соответствием установленному уровню согласно Техническому заданию на выполнение работ по «Ямочному ремонту автомобильной дороги по ул. Лазо с. Фроловка».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Работы необходимо выполнить в соответствии с действующими строительными нормами и правилами (СНиП 3.06.03-85,п.10 «Укладка асфальтобетонной смеси», ГОСТ 9128-97 «Смеси асфальтобетонные дорожные, аэродромные и асфальтобетон», методическими рекомендациями по ремонту и содержанию автомобильных дорог общего пользования, требованиями ГОСТ </w:t>
      </w:r>
      <w:proofErr w:type="gramStart"/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proofErr w:type="gramEnd"/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50597-93 «Автомобильные дороги и улицы».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Укладку горячих асфальтобетонных смесей производить при температуре окружающего воздуха не ниже 5оС. Перед укладкой асфальтобетонной смеси необходимо произвести обработку ремонтируемого покрытия механизированным способом с применением гудронатора.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Подрядчик обязан использовать на объекте только материалы и конструкции, имеющие соответствующие сертификаты, паспорта качества и другие документы, удостоверяющие их качество и прошедшие входной контроль. Копии документов, подтверждающих качество, должны представляться Заказчику до начала производства работ, выполняемых с использованием этих материалов.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Участник размещения заказа должен иметь в собственности или иметь гарантированный доступ к основным видам техники и оборудования, необходимым для выполнения комплекса работ по Контракту, в соответствии с ОДН 218.014-99 «Нормативы потребности в дорожной технике для содержания автомобильных дорог».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Участник размещения заказа должен иметь собственную аккредитованную или аттестованную испытательную лабораторию по определению качества выполняемых работ и применяемых материалов с подготовленным персоналом на весь комплекс испытаний, необходимых  для оценки используемых материалов и выпускаемой продукции, выполненных работ (СНиП 12-01-2004) или договор на оказание услуг с аккредитованной или аттестованной лабораторией.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pacing w:val="-4"/>
          <w:sz w:val="24"/>
          <w:szCs w:val="24"/>
        </w:rPr>
        <w:t>По окончании работ Подрядчик представляет Заказчику освидетельствование скрытых работ, а также заключение лабораторных испытаний для определения качества выполняемых работ.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Требования к безопасности работ:</w:t>
      </w: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производить в соответствии со СНиП </w:t>
      </w: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>-4-80* - «Техника безопасности в строительстве»; СНиП 12-03-2001– «Безопасность труда в строительстве».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работ: сдача объекта в эксплуатацию; СНиП 3.01.04-87 «Приемка в эксплуатацию законченных строительством объектов. Основные положения». </w:t>
      </w:r>
      <w:r w:rsidRPr="005654C4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>о окончанию работ предоставить исполнительную производственно-техническую документацию на основании «Правил приемки работ при строительстве и ремонте автомобильных дорог» (ВСН 19-89)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6" w:name="_Toc286407969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13. Перечень документов, подтверждающих соответствие товара,   работ, услуг требованиям,  установленным  в  соответствии  с  законодательством Российской Федерации, в случае, если в соответствии с   законодательством Российской Федерации установлены требования  </w:t>
      </w:r>
      <w:proofErr w:type="gramStart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gramStart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таким</w:t>
      </w:r>
      <w:proofErr w:type="gramEnd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товару, работам, услугам.</w:t>
      </w:r>
      <w:bookmarkEnd w:id="16"/>
    </w:p>
    <w:p w:rsidR="005654C4" w:rsidRPr="005654C4" w:rsidRDefault="005654C4" w:rsidP="00565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7" w:name="_Toc286407970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Требования  к  сроку  и  объему  предоставления   гарантий</w:t>
      </w:r>
      <w:bookmarkStart w:id="18" w:name="_Toc286407971"/>
      <w:bookmarkEnd w:id="17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качества товара, работ, услуг, к  обслуживанию  товара,  к   расходам  на эксплуатацию товара</w:t>
      </w:r>
      <w:bookmarkEnd w:id="18"/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240" w:lineRule="auto"/>
        <w:ind w:left="-14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565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Подрядчик обязуется выполнить работы по «Ремонту автомобильной дороги по ул. Лазо с. Фроловка, с гарантируемым соответствием результата работ требованиям по качеству, предусмотренными муниципальным контрактом, строительными нормами и правилами, в течение 24 месяцев с момента </w:t>
      </w:r>
      <w:proofErr w:type="gramStart"/>
      <w:r w:rsidRPr="00565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подписания акта сдачи-приемки выполнения работ</w:t>
      </w:r>
      <w:proofErr w:type="gramEnd"/>
      <w:r w:rsidRPr="00565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Гарантии качества распространяются на результат работ, выполненный Подрядчиком по настоящему муниципальному контракту, а так же используемые материалы. Подрядчик обязуется за свой счет устранять дефекты и (или) недостатки в результате выполненной им в соответствии с муниципальным контрактом работе, обнаруженные в течение установленного гарантийного срока. Гарантийный срок в этом случае продлевается соответственно на период устранения дефектов и недостатков. </w:t>
      </w:r>
      <w:proofErr w:type="gramStart"/>
      <w:r w:rsidRPr="00565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 обнаружении Заказчиком в течение гарантийного срока дефектов и (или) недостатков, Заказчик обязан сообщить об этом Подрядчику в письменной форме, а Подрядчик обязан не позднее 5-ти дней со дня получения письменного извещения направить своего полномочного представителя для составления и подписания акта о выявленных дефектах и (или) недостатках, в котором сторонами согласовываются сроки их устранения.</w:t>
      </w:r>
      <w:proofErr w:type="gramEnd"/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9" w:name="_Toc286407972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15. </w:t>
      </w:r>
      <w:bookmarkEnd w:id="19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Место, условия и сроки (периоды) поставки товара, выполнения работ, оказания услуг</w:t>
      </w: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keepLines/>
        <w:widowControl w:val="0"/>
        <w:suppressLineNumbers/>
        <w:suppressAutoHyphens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ab/>
        <w:t>Место выполнения работ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: Приморский край, Партизанский район, село Фроловка, ул.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Партизанская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54C4" w:rsidRPr="005654C4" w:rsidRDefault="005654C4" w:rsidP="005654C4">
      <w:pPr>
        <w:keepLines/>
        <w:widowControl w:val="0"/>
        <w:suppressLineNumbers/>
        <w:suppressAutoHyphens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Сроки выполнения работ: </w:t>
      </w:r>
    </w:p>
    <w:p w:rsidR="005654C4" w:rsidRPr="005654C4" w:rsidRDefault="005654C4" w:rsidP="005654C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Начало выполнения работ - с  момента заключения муниципального контракта.</w:t>
      </w:r>
    </w:p>
    <w:p w:rsidR="005654C4" w:rsidRPr="005654C4" w:rsidRDefault="005654C4" w:rsidP="005654C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Окончание выполнения работ – до 15 октября 2013 года.</w:t>
      </w:r>
    </w:p>
    <w:p w:rsidR="005654C4" w:rsidRPr="005654C4" w:rsidRDefault="005654C4" w:rsidP="005654C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iCs/>
          <w:sz w:val="24"/>
          <w:szCs w:val="24"/>
        </w:rPr>
        <w:t>Подрядчик вправе выполнить работы и сдать Заказчику их результат досрочно.</w:t>
      </w:r>
    </w:p>
    <w:p w:rsidR="005654C4" w:rsidRPr="005654C4" w:rsidRDefault="005654C4" w:rsidP="005654C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выполнения работ: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  <w:t>Выполнение работ в соответствии с условиями муниципального контракта.</w:t>
      </w:r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0" w:name="_Toc286407973"/>
    </w:p>
    <w:p w:rsidR="005654C4" w:rsidRPr="005654C4" w:rsidRDefault="005654C4" w:rsidP="005654C4">
      <w:pPr>
        <w:keepNext/>
        <w:widowControl w:val="0"/>
        <w:tabs>
          <w:tab w:val="num" w:pos="284"/>
        </w:tabs>
        <w:suppressAutoHyphens/>
        <w:spacing w:after="0" w:line="100" w:lineRule="atLeast"/>
        <w:ind w:left="42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16. Форма, сроки и порядок оплаты товара, работ, услуг</w:t>
      </w:r>
      <w:bookmarkEnd w:id="20"/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</w: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оплаты: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Безналичный расчет путем перечисления денежных средств на расчетный счет Подрядчика. Авансовый платеж не предусмотрен.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ab/>
      </w: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Сроки и порядок оплаты: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на выполнение работ по приобретению оборудования и установке детской игровой площадки в поселке Николаевка Партизанского района Приморского края, на основании актов выполненных работ и справок о стоимости выполненных работ (формы КС-2 и КС-3), предъявляемых к оплате, посредством перечисления денежных средств на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расчетный счет Подрядчика, не позднее 31.12.2013г.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5654C4" w:rsidRPr="005654C4" w:rsidRDefault="005654C4" w:rsidP="005654C4">
      <w:pPr>
        <w:keepNext/>
        <w:widowControl w:val="0"/>
        <w:numPr>
          <w:ilvl w:val="0"/>
          <w:numId w:val="23"/>
        </w:numPr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1" w:name="_Toc286407974"/>
      <w:r w:rsidRPr="00565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участникам размещения заказа</w:t>
      </w:r>
      <w:bookmarkEnd w:id="21"/>
    </w:p>
    <w:p w:rsidR="005654C4" w:rsidRPr="005654C4" w:rsidRDefault="005654C4" w:rsidP="005654C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Устанавливаются следующие обязательные требования к Участникам размещения заказа:</w:t>
      </w:r>
    </w:p>
    <w:p w:rsidR="005654C4" w:rsidRPr="005654C4" w:rsidRDefault="005654C4" w:rsidP="005654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1. Соответствие участников размещения заказа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торгов.</w:t>
      </w:r>
    </w:p>
    <w:p w:rsidR="005654C4" w:rsidRPr="005654C4" w:rsidRDefault="005654C4" w:rsidP="005654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2. </w:t>
      </w:r>
      <w:proofErr w:type="spellStart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Непроведение</w:t>
      </w:r>
      <w:proofErr w:type="spellEnd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ликвидации участника размещения заказа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производства.</w:t>
      </w:r>
    </w:p>
    <w:p w:rsidR="005654C4" w:rsidRPr="005654C4" w:rsidRDefault="005654C4" w:rsidP="005654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3. </w:t>
      </w:r>
      <w:proofErr w:type="spellStart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Неприостановление</w:t>
      </w:r>
      <w:proofErr w:type="spellEnd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5654C4" w:rsidRPr="005654C4" w:rsidRDefault="005654C4" w:rsidP="005654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proofErr w:type="gramStart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стоимости активов участника размещения заказа</w:t>
      </w:r>
      <w:proofErr w:type="gramEnd"/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принято.</w:t>
      </w:r>
    </w:p>
    <w:p w:rsidR="005654C4" w:rsidRPr="005654C4" w:rsidRDefault="005654C4" w:rsidP="005654C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5. Отсутствие сведений об Участнике размещения заказа в Реестре недобросовестных поставщиков.</w:t>
      </w:r>
    </w:p>
    <w:p w:rsidR="005654C4" w:rsidRPr="005654C4" w:rsidRDefault="005654C4" w:rsidP="005654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654C4" w:rsidRPr="005654C4" w:rsidRDefault="005654C4" w:rsidP="005654C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к аукционной документации</w:t>
      </w: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4C4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 на выполнение работ по «Ямочному ремонту автомобильной дороги по ул. Лазо с. Фроловка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Требования к качеству, техническим и функциональным характеристикам, безопасности  товара используемого при выполнении работ по «Ямочному ремонту автомобильной дороги по ул. Лазо с. Фроловка</w:t>
      </w: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2"/>
      </w:tblGrid>
      <w:tr w:rsidR="005654C4" w:rsidRPr="005654C4" w:rsidTr="00083245">
        <w:tc>
          <w:tcPr>
            <w:tcW w:w="2978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7512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Значения показателей, которые не могут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изменятся</w:t>
            </w:r>
            <w:proofErr w:type="gramEnd"/>
          </w:p>
        </w:tc>
      </w:tr>
      <w:tr w:rsidR="005654C4" w:rsidRPr="005654C4" w:rsidTr="00083245">
        <w:tc>
          <w:tcPr>
            <w:tcW w:w="2978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Щебень</w:t>
            </w:r>
          </w:p>
        </w:tc>
        <w:tc>
          <w:tcPr>
            <w:tcW w:w="7512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Дробимость</w:t>
            </w:r>
            <w:proofErr w:type="spellEnd"/>
            <w:r w:rsidRPr="005654C4">
              <w:rPr>
                <w:rFonts w:ascii="Times New Roman" w:eastAsia="Times New Roman" w:hAnsi="Times New Roman" w:cs="Times New Roman"/>
              </w:rPr>
              <w:t xml:space="preserve"> &gt;=800;</w:t>
            </w:r>
          </w:p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Содержание в щебне зерен пластинчатой и игловатой формы &lt;=35;</w:t>
            </w:r>
          </w:p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Морозостойкость. Выдержал циклов замораживания и оттаивания &gt;=</w:t>
            </w:r>
            <w:r w:rsidRPr="005654C4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5654C4">
              <w:rPr>
                <w:rFonts w:ascii="Times New Roman" w:eastAsia="Times New Roman" w:hAnsi="Times New Roman" w:cs="Times New Roman"/>
              </w:rPr>
              <w:t>50;</w:t>
            </w:r>
          </w:p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Удельная эффективная активность естественных радионуклидов Бк\кг &lt;=370Бк\кг</w:t>
            </w:r>
          </w:p>
        </w:tc>
      </w:tr>
      <w:tr w:rsidR="005654C4" w:rsidRPr="005654C4" w:rsidTr="00083245">
        <w:tc>
          <w:tcPr>
            <w:tcW w:w="2978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Асфальтобетонная смесь</w:t>
            </w:r>
          </w:p>
        </w:tc>
        <w:tc>
          <w:tcPr>
            <w:tcW w:w="7512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Водонасыщение 1,5 - 4;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Сдвигоустойчивость</w:t>
            </w:r>
            <w:proofErr w:type="spellEnd"/>
            <w:r w:rsidRPr="005654C4">
              <w:rPr>
                <w:rFonts w:ascii="Times New Roman" w:eastAsia="Times New Roman" w:hAnsi="Times New Roman" w:cs="Times New Roman"/>
              </w:rPr>
              <w:t xml:space="preserve"> &gt;=0,81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по коэффициенту внутреннего трения &gt;=0,35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Трещиностойкость</w:t>
            </w:r>
            <w:proofErr w:type="spellEnd"/>
            <w:r w:rsidRPr="005654C4">
              <w:rPr>
                <w:rFonts w:ascii="Times New Roman" w:eastAsia="Times New Roman" w:hAnsi="Times New Roman" w:cs="Times New Roman"/>
              </w:rPr>
              <w:t xml:space="preserve"> 3,0-6,5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Предел прочности при сжатии, МПа: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- при 20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- 2,2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- при 50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- 1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- при 0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- &lt;=12,0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- коэффициент водостойкости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654C4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Pr="005654C4">
              <w:rPr>
                <w:rFonts w:ascii="Times New Roman" w:eastAsia="Times New Roman" w:hAnsi="Times New Roman" w:cs="Times New Roman"/>
              </w:rPr>
              <w:t xml:space="preserve"> &gt;=0,85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- коэффициент водостойкости  при длительном водонасыщении &gt;=0,75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Пористость минерального состава, % по объему 14-19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Остаточная пористость, % по объему 2,5 - 5,0</w:t>
            </w:r>
          </w:p>
        </w:tc>
      </w:tr>
      <w:tr w:rsidR="005654C4" w:rsidRPr="005654C4" w:rsidTr="00083245">
        <w:tc>
          <w:tcPr>
            <w:tcW w:w="2978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Битум</w:t>
            </w:r>
          </w:p>
        </w:tc>
        <w:tc>
          <w:tcPr>
            <w:tcW w:w="7512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Глубина проникновения иглы,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5654C4">
                <w:rPr>
                  <w:rFonts w:ascii="Times New Roman" w:eastAsia="Times New Roman" w:hAnsi="Times New Roman" w:cs="Times New Roman"/>
                </w:rPr>
                <w:t>0,1 мм</w:t>
              </w:r>
            </w:smartTag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>при 25 град. С - 91-130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при 0 град.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не менее - 28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Температура размягчения по кольцу и шару не ниже 43 град.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Растяжимость,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5654C4">
              <w:rPr>
                <w:rFonts w:ascii="Times New Roman" w:eastAsia="Times New Roman" w:hAnsi="Times New Roman" w:cs="Times New Roman"/>
              </w:rPr>
              <w:t>,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при 25 град.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не менее 65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при 0 град. 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654C4">
              <w:rPr>
                <w:rFonts w:ascii="Times New Roman" w:eastAsia="Times New Roman" w:hAnsi="Times New Roman" w:cs="Times New Roman"/>
              </w:rPr>
              <w:t xml:space="preserve"> не менее 4,0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Изменение температуры размягчения после подогрева не более 5,0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Индекс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пенетрации</w:t>
            </w:r>
            <w:proofErr w:type="spellEnd"/>
            <w:r w:rsidRPr="005654C4">
              <w:rPr>
                <w:rFonts w:ascii="Times New Roman" w:eastAsia="Times New Roman" w:hAnsi="Times New Roman" w:cs="Times New Roman"/>
              </w:rPr>
              <w:t xml:space="preserve"> от – 1,0 до +1,0</w:t>
            </w:r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Температура хрупкости не выше -17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</w:p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</w:rPr>
              <w:t xml:space="preserve">Температура вспышки не ниже 230 </w:t>
            </w:r>
            <w:proofErr w:type="spellStart"/>
            <w:r w:rsidRPr="005654C4">
              <w:rPr>
                <w:rFonts w:ascii="Times New Roman" w:eastAsia="Times New Roman" w:hAnsi="Times New Roman" w:cs="Times New Roman"/>
              </w:rPr>
              <w:t>град</w:t>
            </w:r>
            <w:proofErr w:type="gramStart"/>
            <w:r w:rsidRPr="005654C4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</w:p>
        </w:tc>
      </w:tr>
    </w:tbl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GoBack"/>
      <w:bookmarkEnd w:id="22"/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4C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Ведомость объемов работ на ямочный  ремонт автомобильной дороги </w:t>
      </w:r>
    </w:p>
    <w:p w:rsidR="005654C4" w:rsidRPr="005654C4" w:rsidRDefault="005654C4" w:rsidP="005654C4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4C4">
        <w:rPr>
          <w:rFonts w:ascii="Times New Roman" w:eastAsia="Times New Roman" w:hAnsi="Times New Roman" w:cs="Times New Roman"/>
          <w:sz w:val="24"/>
          <w:szCs w:val="24"/>
          <w:u w:val="single"/>
        </w:rPr>
        <w:t>по  ул. Лазо с. Фроловка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3148"/>
        <w:gridCol w:w="1245"/>
        <w:gridCol w:w="1860"/>
        <w:gridCol w:w="1673"/>
        <w:gridCol w:w="1317"/>
      </w:tblGrid>
      <w:tr w:rsidR="005654C4" w:rsidRPr="005654C4" w:rsidTr="00083245">
        <w:trPr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Обоснование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654C4" w:rsidRPr="005654C4" w:rsidTr="00083245"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654C4" w:rsidRPr="005654C4" w:rsidTr="00083245">
        <w:trPr>
          <w:trHeight w:val="4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Раздел 1.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54C4" w:rsidRPr="005654C4" w:rsidTr="00083245">
        <w:trPr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 м3 конструкций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0.02</w:t>
            </w:r>
          </w:p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2/100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ГЭСНр68-12-4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654C4" w:rsidRPr="005654C4" w:rsidTr="00083245">
        <w:trPr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т груза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3.6</w:t>
            </w:r>
          </w:p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2*1,8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01-01-01-041 </w:t>
            </w:r>
          </w:p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Сб</w:t>
            </w: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мета</w:t>
            </w:r>
            <w:proofErr w:type="spell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в.35)</w:t>
            </w:r>
          </w:p>
        </w:tc>
      </w:tr>
      <w:tr w:rsidR="005654C4" w:rsidRPr="005654C4" w:rsidTr="00083245">
        <w:trPr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Перевозка грузов автомобилями-самосвалами грузоподъемностью 10 т, работающих вне карьера, на расстояние: до 2 км I класс груза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т груза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03-21-01-002</w:t>
            </w:r>
          </w:p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Сб</w:t>
            </w: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мета</w:t>
            </w:r>
            <w:proofErr w:type="spellEnd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в.35)</w:t>
            </w:r>
          </w:p>
        </w:tc>
      </w:tr>
      <w:tr w:rsidR="005654C4" w:rsidRPr="005654C4" w:rsidTr="00083245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Розлив вяжущих материалов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0.03</w:t>
            </w:r>
          </w:p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0,06*0,5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ГЭСН27-06-026-01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654C4" w:rsidRPr="005654C4" w:rsidTr="00083245">
        <w:trPr>
          <w:trHeight w:val="12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 м3 материала основания (в плотном теле)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ГЭСН27-04-001-02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654C4" w:rsidRPr="005654C4" w:rsidTr="00083245">
        <w:trPr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Ремонт асфальтобетонного покрытия дорог однослойного толщиной: 70 мм площадью ремонта до 5 м</w:t>
            </w: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 м</w:t>
            </w:r>
            <w:proofErr w:type="gramStart"/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54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ГЭСНр68-15-3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4" w:rsidRPr="005654C4" w:rsidRDefault="005654C4" w:rsidP="0056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654C4" w:rsidRPr="005654C4" w:rsidRDefault="005654C4" w:rsidP="005654C4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качеству работ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1) Выполненные работы должны производиться в соответствии с требованиями по качеству, установленными для работ по ремонту дорог и элементов благоустройства законодательством Российской Федерации. 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Основной перечень нормативных технических документов, подлежащих применению сторонами при выполнении работ: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183"/>
      </w:tblGrid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СНиП 3.06.03-85   Автомобильные дороги.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СНиП 2.05.02-85   Автомобильные дороги.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СНиП 3.01.04-87 Приемка в эксплуатацию </w:t>
            </w: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законченных</w:t>
            </w:r>
            <w:proofErr w:type="gramEnd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строительством объектом. Основные положения.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СНиП 3.02.01-87 Земляные сооружения, основания и фундаменты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СНиП 12-01-2004 Организация строительства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СНиП 12-03-99 ГОСТ </w:t>
            </w: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12.3.048 -2002 Правила производства и приемки работ. Техника безопасности в строительстве.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СНиП 52-01-2003 Бетонные и железобетонные конструкции. Основные положения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ВСН 19-89 Правила приемки работ при строительстве и ремонте автомобильных дорог.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103-00 Технические рекомендации по устройству дорожных конструкций с применением асфальтобетона (взамен ВСН 14-95).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ВСН 14-91 Нормы расхода материалов на строительство и ремонт автомобильных дорог и мостов.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ремонту и содержанию автомобильных дорог общего пользования (взамен ВСН 24-88), рекомендованные к применению письмом </w:t>
            </w: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службы дорожного хозяйства Министерства транспорта РФ от 17.03.2004 г. №ос-28/1270-ИС).</w:t>
            </w:r>
            <w:proofErr w:type="gramEnd"/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50597-93   «Требования к эксплуатационному состоянию, допустимому по условиям обеспечения безопасности дорожного движения».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8735-88  (Изм. №1 от 22.06.89; №2 от 4.12.200-)   Песок для строительных работ. Методы испытаний.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8736-93   (№1, 2 от 4.12.2000)  Песок для строительных работ. Технические условия.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9128-97 (Изм. №1 от 4.12.2000; №2 от 11.06.2002)   Смеси асфальтобетонные дорожные, аэродромные и асфальтобетон.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22245-90 Битумы нефтяные дорожные вязкие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12801-98   Материалы на основе </w:t>
            </w:r>
            <w:proofErr w:type="gramStart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вяжущих для дорожного и аэродромного строительства. Методы испытаний.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7473-94 Смеси бетонные. Технические условия.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6665-91  Камни бетонные и железобетонные бортовые.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13579-78 Блоки бетонные для стен подвалов.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3634-89 Люки чугунные для смотровых колодцев.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8020-90 Конструкции бетонные и железобетонные для колодцев канализационных, водопроводных и газопроводных сетей.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3" w:type="dxa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30412-96   Дороги автомобильные и аэродромы. Методы измерения неровностей оснований и покрытий.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15467-79   Управление качеством продукции. Основные понятия. Термины и определения.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16504-81   Система государственных испытаний продукции. Испытания и контроль качества продукции. Основные термины и определения.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8269.0-97 (Изм. №1 от 4.12.2000) Щебень и гравий из плотных горных пород и отходов промышленного производства для строительных работ. Методы испытаний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8267-93 (Изм. №1 от 10.12.97; №2 от 4.12.2000; №3 от 3.06.2002) Щебень из природного камня для строительных работ. Технические условия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10181-2000 Смеси бетонные. Методы испытаний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5802-86  Растворы строительные. Методы испытаний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СП 82-101-98 Приготовление и применение растворов строительных</w:t>
            </w:r>
          </w:p>
        </w:tc>
      </w:tr>
      <w:tr w:rsidR="005654C4" w:rsidRPr="005654C4" w:rsidTr="00083245">
        <w:tc>
          <w:tcPr>
            <w:tcW w:w="456" w:type="dxa"/>
          </w:tcPr>
          <w:p w:rsidR="005654C4" w:rsidRPr="005654C4" w:rsidRDefault="005654C4" w:rsidP="0056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83" w:type="dxa"/>
            <w:vAlign w:val="center"/>
          </w:tcPr>
          <w:p w:rsidR="005654C4" w:rsidRPr="005654C4" w:rsidRDefault="005654C4" w:rsidP="0056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5180-84 Грунты. Методы лабораторного определения физических характеристик</w:t>
            </w:r>
          </w:p>
        </w:tc>
      </w:tr>
    </w:tbl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2) Качество всех материалов и изделий, используемых при производстве работ должно подтверждаться соответствующими сертификатами, техническими паспортами на бетонные изделия, рецептами на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а/бетонных смесей, карточками и журналами лабораторных испытаний щебня, битума, а/бетонных смесей, контрольных образцов а/бетона (кернов) и др., удостоверяющими их качество в соответствии с требованиями ГОСТ.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       3) Работы должны выполняться под наблюдением ответственных лиц за технологическими процессами, качеством всех видов работ, безопасности работ назначенных приказом руководителя предприятия Подрядчика и предоставленного Заказчику до начала работ. </w:t>
      </w:r>
    </w:p>
    <w:p w:rsidR="005654C4" w:rsidRPr="005654C4" w:rsidRDefault="005654C4" w:rsidP="0056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       4) </w:t>
      </w: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обязан вести общий журнал производства работ, а также специальные журналы по выполняемым отдельным видам работ на данном объекте и предоставлять его для проверки и замечаний представителю заказчика по его требованию и при приемке всех выполненных работ.           </w:t>
      </w:r>
    </w:p>
    <w:p w:rsidR="005654C4" w:rsidRPr="005654C4" w:rsidRDefault="005654C4" w:rsidP="005654C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</w:t>
      </w:r>
      <w:proofErr w:type="gramStart"/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proofErr w:type="gramEnd"/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а/бетонного покрытия производить только после проведения  и приемки Заказчиком подготовительных работ, монтажа ж/б труб и выполненного щебеночного основания. 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6) Покрытие и основание с использованием вяжущих материалов устраивать в сухую погоду по сухим и чистым нижележащим слоям.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Перед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укладкой</w:t>
      </w:r>
      <w:proofErr w:type="gramEnd"/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а/бетонной смеси произвести обработку поверхности основания битумом равномерным слоем не менее, чем за 1-6 часов до укладки смеси. При разливе битума не допускать его концентрации в пониженных местах. </w:t>
      </w:r>
    </w:p>
    <w:p w:rsidR="005654C4" w:rsidRPr="005654C4" w:rsidRDefault="005654C4" w:rsidP="00565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8) Перед устройством асфальтобетонного слоя по существующему покрытию, устранить дефекты старого покрытия (выбоины, </w:t>
      </w:r>
      <w:proofErr w:type="spellStart"/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колейность</w:t>
      </w:r>
      <w:proofErr w:type="spellEnd"/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трещины, просадки) 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>9) Сопряжения полос должны быть ровными и плотными. Поперечные сопряжения полос должны быть перпендикулярны оси дороги. Продольные сопряжения полос должны быть параллельны оси дороги</w:t>
      </w: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. На сопряжении 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и конечного участках свежеуложенное покрытие должно быть в одном уровне со старым покрытием.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10) Поверхность свежеуложенного покрытия должна быть однородной, без раковин и трещин. 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11) Поперечный профиль проезжей части дороги должен быть выполнен с уклоном к бортовым камням, лоткам, ливнестокам, приямкам, обочинам водоотводным канавам. Застой воды на покрытиях не допускается.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12) Поверхность покрытия должна быть ровной, просвет под трехметровой рейкой должен быть не более 5мм. Застой воды на покрытиях не допускается.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13) По окончании работ подтвердить качество а/бетонного покрытия, предоставив журнал лабораторного испытания вырубок, из расчета 3 вырубки на </w:t>
      </w:r>
      <w:smartTag w:uri="urn:schemas-microsoft-com:office:smarttags" w:element="metricconverter">
        <w:smartTagPr>
          <w:attr w:name="ProductID" w:val="7000 м2"/>
        </w:smartTagPr>
        <w:r w:rsidRPr="005654C4">
          <w:rPr>
            <w:rFonts w:ascii="Times New Roman" w:eastAsia="Times New Roman" w:hAnsi="Times New Roman" w:cs="Times New Roman"/>
            <w:sz w:val="24"/>
            <w:szCs w:val="24"/>
          </w:rPr>
          <w:t>7000 м</w:t>
        </w:r>
        <w:proofErr w:type="gramStart"/>
        <w:r w:rsidRPr="005654C4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smartTag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, отобранных в местах указанных представителем Заказчика. 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14)  Коэффициент уплотнения  плотного асфальтобетона из горячих смесей типа</w:t>
      </w:r>
      <w:proofErr w:type="gramStart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5654C4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не менее-0,99 и пористого асфальтобетона должен быть не менее - 0,98.</w:t>
      </w:r>
    </w:p>
    <w:p w:rsidR="005654C4" w:rsidRPr="005654C4" w:rsidRDefault="005654C4" w:rsidP="0056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Подрядчик обязан сдать представителю Заказчика все скрытые работ до начала последующих работ, оформив соответствующим актом освидетельствования. 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654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</w:t>
      </w:r>
      <w:r w:rsidRPr="005654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</w:t>
      </w:r>
    </w:p>
    <w:p w:rsidR="005654C4" w:rsidRPr="005654C4" w:rsidRDefault="005654C4" w:rsidP="0056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54C4" w:rsidRPr="005654C4" w:rsidRDefault="005654C4" w:rsidP="005654C4">
      <w:pPr>
        <w:tabs>
          <w:tab w:val="left" w:pos="695"/>
          <w:tab w:val="left" w:pos="983"/>
        </w:tabs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4C4">
        <w:rPr>
          <w:rFonts w:ascii="Times New Roman" w:eastAsia="Times New Roman" w:hAnsi="Times New Roman" w:cs="Times New Roman"/>
          <w:sz w:val="24"/>
          <w:szCs w:val="24"/>
        </w:rPr>
        <w:t>Выполнение всех видов ремонта дорожного полотна, дорожного покрытия из асфальтобетонных смесей, со всеми подготовительными и сопутствующими работам в соответствии с техническим заданием.</w:t>
      </w:r>
    </w:p>
    <w:p w:rsidR="005654C4" w:rsidRPr="005654C4" w:rsidRDefault="005654C4" w:rsidP="005654C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B61" w:rsidRPr="00CD479F" w:rsidRDefault="00FF7B61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FF7B61" w:rsidRPr="00CD479F" w:rsidSect="0004018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A3D57DC"/>
    <w:multiLevelType w:val="hybridMultilevel"/>
    <w:tmpl w:val="11761EE0"/>
    <w:lvl w:ilvl="0" w:tplc="DA32668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FD79F1"/>
    <w:multiLevelType w:val="hybridMultilevel"/>
    <w:tmpl w:val="C204A6E0"/>
    <w:lvl w:ilvl="0" w:tplc="EC4234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7CAC30C4">
      <w:start w:val="1"/>
      <w:numFmt w:val="bullet"/>
      <w:lvlText w:val="-"/>
      <w:lvlJc w:val="left"/>
      <w:pPr>
        <w:tabs>
          <w:tab w:val="num" w:pos="2291"/>
        </w:tabs>
        <w:ind w:left="144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>
    <w:nsid w:val="3D9A0872"/>
    <w:multiLevelType w:val="hybridMultilevel"/>
    <w:tmpl w:val="B234289C"/>
    <w:lvl w:ilvl="0" w:tplc="3C66A7AA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0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22816"/>
    <w:multiLevelType w:val="hybridMultilevel"/>
    <w:tmpl w:val="34C2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271F2"/>
    <w:multiLevelType w:val="multilevel"/>
    <w:tmpl w:val="906C2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7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65" w:hanging="180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18"/>
  </w:num>
  <w:num w:numId="23">
    <w:abstractNumId w:val="22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40189"/>
    <w:rsid w:val="000D6646"/>
    <w:rsid w:val="000F30AB"/>
    <w:rsid w:val="00100188"/>
    <w:rsid w:val="001138FD"/>
    <w:rsid w:val="0011542B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4754A"/>
    <w:rsid w:val="00563F7D"/>
    <w:rsid w:val="005654C4"/>
    <w:rsid w:val="005708BB"/>
    <w:rsid w:val="005A5C71"/>
    <w:rsid w:val="005D52A6"/>
    <w:rsid w:val="00610161"/>
    <w:rsid w:val="00631DFE"/>
    <w:rsid w:val="0066459A"/>
    <w:rsid w:val="006A6187"/>
    <w:rsid w:val="006E0B7C"/>
    <w:rsid w:val="00703B1D"/>
    <w:rsid w:val="00705D74"/>
    <w:rsid w:val="0072362B"/>
    <w:rsid w:val="0076546B"/>
    <w:rsid w:val="007C513B"/>
    <w:rsid w:val="00832B70"/>
    <w:rsid w:val="00855F1F"/>
    <w:rsid w:val="008E6222"/>
    <w:rsid w:val="00937198"/>
    <w:rsid w:val="00943F4F"/>
    <w:rsid w:val="00945194"/>
    <w:rsid w:val="00955049"/>
    <w:rsid w:val="00972B6C"/>
    <w:rsid w:val="009C0DD6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03932"/>
    <w:rsid w:val="00B469B3"/>
    <w:rsid w:val="00B50911"/>
    <w:rsid w:val="00B85588"/>
    <w:rsid w:val="00BC36C6"/>
    <w:rsid w:val="00BD4DA1"/>
    <w:rsid w:val="00BF5DCC"/>
    <w:rsid w:val="00C74EC6"/>
    <w:rsid w:val="00CD0DFA"/>
    <w:rsid w:val="00CD479F"/>
    <w:rsid w:val="00CF1942"/>
    <w:rsid w:val="00D053D4"/>
    <w:rsid w:val="00D12DB3"/>
    <w:rsid w:val="00D1754D"/>
    <w:rsid w:val="00D42A27"/>
    <w:rsid w:val="00D675AA"/>
    <w:rsid w:val="00DA7701"/>
    <w:rsid w:val="00DC5E7A"/>
    <w:rsid w:val="00DE7B56"/>
    <w:rsid w:val="00DF0ACD"/>
    <w:rsid w:val="00DF2FAE"/>
    <w:rsid w:val="00E01B31"/>
    <w:rsid w:val="00E13C68"/>
    <w:rsid w:val="00E44952"/>
    <w:rsid w:val="00E92C0C"/>
    <w:rsid w:val="00E965AF"/>
    <w:rsid w:val="00EB4594"/>
    <w:rsid w:val="00ED00FC"/>
    <w:rsid w:val="00EE69DD"/>
    <w:rsid w:val="00F11684"/>
    <w:rsid w:val="00F11D99"/>
    <w:rsid w:val="00F26328"/>
    <w:rsid w:val="00F304EE"/>
    <w:rsid w:val="00F32BC8"/>
    <w:rsid w:val="00F6330E"/>
    <w:rsid w:val="00F854AE"/>
    <w:rsid w:val="00FC512A"/>
    <w:rsid w:val="00FE63F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8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4754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6B80-474B-4F0C-BC5F-EACBDEC8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64</cp:revision>
  <cp:lastPrinted>2013-09-12T22:37:00Z</cp:lastPrinted>
  <dcterms:created xsi:type="dcterms:W3CDTF">2012-01-16T04:56:00Z</dcterms:created>
  <dcterms:modified xsi:type="dcterms:W3CDTF">2013-09-19T01:31:00Z</dcterms:modified>
</cp:coreProperties>
</file>