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B9" w:rsidRPr="005A0AB9" w:rsidRDefault="005A0AB9" w:rsidP="005A0AB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5A0AB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 каких изменениях нужно знать гражданам в II квартале 2022 года</w:t>
      </w:r>
    </w:p>
    <w:bookmarkEnd w:id="0"/>
    <w:p w:rsidR="005A0AB9" w:rsidRPr="005A0AB9" w:rsidRDefault="00335A5E" w:rsidP="005A0AB9">
      <w:pPr>
        <w:shd w:val="clear" w:color="auto" w:fill="FFFFFF"/>
        <w:spacing w:after="0" w:line="286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fldChar w:fldCharType="begin"/>
      </w:r>
      <w:r>
        <w:instrText xml:space="preserve"> HYPERLINK "https://ondb.consultant.ru/news/?tag_ids=1303" </w:instrText>
      </w:r>
      <w:r>
        <w:fldChar w:fldCharType="separate"/>
      </w:r>
      <w:r w:rsidR="005A0AB9" w:rsidRPr="005A0AB9">
        <w:rPr>
          <w:rFonts w:ascii="Arial" w:eastAsia="Times New Roman" w:hAnsi="Arial" w:cs="Arial"/>
          <w:color w:val="0E0E0E"/>
          <w:sz w:val="23"/>
          <w:szCs w:val="23"/>
          <w:bdr w:val="none" w:sz="0" w:space="0" w:color="auto" w:frame="1"/>
          <w:shd w:val="clear" w:color="auto" w:fill="F2F1F4"/>
          <w:lang w:eastAsia="ru-RU"/>
        </w:rPr>
        <w:t>Изменения-2022</w:t>
      </w:r>
      <w:r>
        <w:rPr>
          <w:rFonts w:ascii="Arial" w:eastAsia="Times New Roman" w:hAnsi="Arial" w:cs="Arial"/>
          <w:color w:val="0E0E0E"/>
          <w:sz w:val="23"/>
          <w:szCs w:val="23"/>
          <w:bdr w:val="none" w:sz="0" w:space="0" w:color="auto" w:frame="1"/>
          <w:shd w:val="clear" w:color="auto" w:fill="F2F1F4"/>
          <w:lang w:eastAsia="ru-RU"/>
        </w:rPr>
        <w:fldChar w:fldCharType="end"/>
      </w:r>
      <w:r w:rsidR="005A0AB9" w:rsidRPr="005A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="005A0AB9" w:rsidRPr="005A0AB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2F1F4"/>
          <w:lang w:eastAsia="ru-RU"/>
        </w:rPr>
        <w:fldChar w:fldCharType="begin"/>
      </w:r>
      <w:r w:rsidR="005A0AB9" w:rsidRPr="005A0AB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2F1F4"/>
          <w:lang w:eastAsia="ru-RU"/>
        </w:rPr>
        <w:instrText xml:space="preserve"> HYPERLINK "https://ondb.consultant.ru/news/?tag_ids=1225" </w:instrText>
      </w:r>
      <w:r w:rsidR="005A0AB9" w:rsidRPr="005A0AB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2F1F4"/>
          <w:lang w:eastAsia="ru-RU"/>
        </w:rPr>
        <w:fldChar w:fldCharType="separate"/>
      </w:r>
      <w:r w:rsidR="005A0AB9" w:rsidRPr="005A0AB9">
        <w:rPr>
          <w:rFonts w:ascii="Arial" w:eastAsia="Times New Roman" w:hAnsi="Arial" w:cs="Arial"/>
          <w:color w:val="0E0E0E"/>
          <w:sz w:val="23"/>
          <w:szCs w:val="23"/>
          <w:bdr w:val="none" w:sz="0" w:space="0" w:color="auto" w:frame="1"/>
          <w:shd w:val="clear" w:color="auto" w:fill="F2F1F4"/>
          <w:lang w:eastAsia="ru-RU"/>
        </w:rPr>
        <w:t>Госуслуги</w:t>
      </w:r>
      <w:proofErr w:type="spellEnd"/>
      <w:r w:rsidR="005A0AB9" w:rsidRPr="005A0AB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2F1F4"/>
          <w:lang w:eastAsia="ru-RU"/>
        </w:rPr>
        <w:fldChar w:fldCharType="end"/>
      </w:r>
      <w:r w:rsidR="005A0AB9" w:rsidRPr="005A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5" w:history="1">
        <w:r w:rsidR="005A0AB9" w:rsidRPr="005A0AB9">
          <w:rPr>
            <w:rFonts w:ascii="Arial" w:eastAsia="Times New Roman" w:hAnsi="Arial" w:cs="Arial"/>
            <w:color w:val="0E0E0E"/>
            <w:sz w:val="23"/>
            <w:szCs w:val="23"/>
            <w:bdr w:val="none" w:sz="0" w:space="0" w:color="auto" w:frame="1"/>
            <w:shd w:val="clear" w:color="auto" w:fill="F2F1F4"/>
            <w:lang w:eastAsia="ru-RU"/>
          </w:rPr>
          <w:t>Заем и кредит</w:t>
        </w:r>
      </w:hyperlink>
    </w:p>
    <w:p w:rsidR="005A0AB9" w:rsidRPr="005A0AB9" w:rsidRDefault="005A0AB9" w:rsidP="005A0AB9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E0E0E"/>
          <w:sz w:val="2"/>
          <w:szCs w:val="2"/>
          <w:lang w:eastAsia="ru-RU"/>
        </w:rPr>
      </w:pPr>
      <w:r w:rsidRPr="005A0AB9">
        <w:rPr>
          <w:rFonts w:ascii="Arial" w:eastAsia="Times New Roman" w:hAnsi="Arial" w:cs="Arial"/>
          <w:noProof/>
          <w:color w:val="0E0E0E"/>
          <w:sz w:val="2"/>
          <w:szCs w:val="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6543</wp:posOffset>
            </wp:positionH>
            <wp:positionV relativeFrom="paragraph">
              <wp:posOffset>-18001</wp:posOffset>
            </wp:positionV>
            <wp:extent cx="2663825" cy="1736090"/>
            <wp:effectExtent l="0" t="0" r="3175" b="0"/>
            <wp:wrapTight wrapText="bothSides">
              <wp:wrapPolygon edited="0">
                <wp:start x="0" y="0"/>
                <wp:lineTo x="0" y="21331"/>
                <wp:lineTo x="21471" y="21331"/>
                <wp:lineTo x="21471" y="0"/>
                <wp:lineTo x="0" y="0"/>
              </wp:wrapPolygon>
            </wp:wrapTight>
            <wp:docPr id="2" name="Рисунок 2" descr="http://storage.consultant.ru/ondb/thumbs/202203/31/SQ9dGhEXTa9VB8MIGGv_l9I2MA_inYsn.280x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consultant.ru/ondb/thumbs/202203/31/SQ9dGhEXTa9VB8MIGGv_l9I2MA_inYsn.280x18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AB9" w:rsidRPr="005A0AB9" w:rsidRDefault="005A0AB9" w:rsidP="005A0AB9">
      <w:pPr>
        <w:shd w:val="clear" w:color="auto" w:fill="FFFFFF"/>
        <w:spacing w:after="0" w:line="286" w:lineRule="atLeast"/>
        <w:textAlignment w:val="top"/>
        <w:rPr>
          <w:rFonts w:ascii="Arial" w:eastAsia="Times New Roman" w:hAnsi="Arial" w:cs="Arial"/>
          <w:b/>
          <w:bCs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26"/>
          <w:szCs w:val="26"/>
          <w:lang w:eastAsia="ru-RU"/>
        </w:rPr>
        <w:t xml:space="preserve">В новом квартале проиндексируют социальные пенсии, скорректируют коэффициенты для расчета ОСАГО, уточнят условия льготной ипотеки. Ряд изменений коснется детских выплат, мер соцзащиты и списания долгов по </w:t>
      </w:r>
      <w:proofErr w:type="spellStart"/>
      <w:r w:rsidRPr="005A0AB9">
        <w:rPr>
          <w:rFonts w:ascii="Arial" w:eastAsia="Times New Roman" w:hAnsi="Arial" w:cs="Arial"/>
          <w:b/>
          <w:bCs/>
          <w:color w:val="0E0E0E"/>
          <w:sz w:val="26"/>
          <w:szCs w:val="26"/>
          <w:lang w:eastAsia="ru-RU"/>
        </w:rPr>
        <w:t>потребкредитам</w:t>
      </w:r>
      <w:proofErr w:type="spellEnd"/>
      <w:r w:rsidRPr="005A0AB9">
        <w:rPr>
          <w:rFonts w:ascii="Arial" w:eastAsia="Times New Roman" w:hAnsi="Arial" w:cs="Arial"/>
          <w:b/>
          <w:bCs/>
          <w:color w:val="0E0E0E"/>
          <w:sz w:val="26"/>
          <w:szCs w:val="26"/>
          <w:lang w:eastAsia="ru-RU"/>
        </w:rPr>
        <w:t>. Подробнее об этих и других новшествах читайте в обзоре.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1"/>
        <w:rPr>
          <w:rFonts w:ascii="Arial" w:eastAsia="Times New Roman" w:hAnsi="Arial" w:cs="Arial"/>
          <w:b/>
          <w:bCs/>
          <w:color w:val="0E0E0E"/>
          <w:sz w:val="36"/>
          <w:szCs w:val="36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33"/>
          <w:szCs w:val="33"/>
          <w:bdr w:val="none" w:sz="0" w:space="0" w:color="auto" w:frame="1"/>
          <w:lang w:eastAsia="ru-RU"/>
        </w:rPr>
        <w:t>С 1 апреля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Социальные пенсии</w: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  <w:t xml:space="preserve">                                                                                     </w:t>
      </w: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За счет </w:t>
      </w:r>
      <w:hyperlink r:id="rId7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ежегодной индексации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социальные пенсии выросли на 8,6%. Напомним, такие пенсии платят </w:t>
      </w:r>
      <w:hyperlink r:id="rId8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нетрудоспособным гражданам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, которые постоянно проживают в РФ. Есть социальные пенсии, в частности, по старости, по инвалидности, по случаю потери кормильца.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t>Документ: </w:t>
      </w:r>
      <w:hyperlink r:id="rId9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Правительства РФ от 18.03.2022 N 396</w:t>
        </w:r>
      </w:hyperlink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Сервис быстрых платежей</w: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  <w:t xml:space="preserve">                                                                          </w:t>
      </w:r>
      <w:hyperlink r:id="rId10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Свыше 200 банков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 должны обеспечить гражданам более полный доступ к сервису быстрых платежей. Теперь клиенты всех этих банков с помощью мобильного приложения </w:t>
      </w:r>
      <w:proofErr w:type="spellStart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СБПэй</w:t>
      </w:r>
      <w:proofErr w:type="spellEnd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 могут не только совершать быстрые переводы между физлицами, но и оплачивать покупки по QR-кодам.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t>Документы: </w:t>
      </w:r>
      <w:hyperlink r:id="rId11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Положение Банка России от 24.09.2020 N 732-П</w:t>
        </w:r>
      </w:hyperlink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t>; </w:t>
      </w:r>
      <w:hyperlink r:id="rId12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Указание Банка России от 25.03.2021 N 5756-У</w:t>
        </w:r>
      </w:hyperlink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Сведения о банковских реквизитах</w: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  <w:t xml:space="preserve">                                                     </w:t>
      </w: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Кредитные организации с согласия физлиц могут предоставлять реквизиты их счетов в </w:t>
      </w:r>
      <w:hyperlink r:id="rId13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ЕСИА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. Сведения о счетах в дальнейшем будут использовать органы и организации для перечисления </w:t>
      </w:r>
      <w:proofErr w:type="spellStart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соцвыплат</w:t>
      </w:r>
      <w:proofErr w:type="spellEnd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t>Документы: </w:t>
      </w:r>
      <w:hyperlink r:id="rId14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Правительства РФ от 08.07.2021 N 1150</w:t>
        </w:r>
      </w:hyperlink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t>; </w:t>
      </w:r>
      <w:hyperlink r:id="rId15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Правительства РФ от 01.12.2021 N 2153</w:t>
        </w:r>
      </w:hyperlink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Детские выплаты</w:t>
      </w:r>
    </w:p>
    <w:p w:rsidR="005A0AB9" w:rsidRPr="005A0AB9" w:rsidRDefault="005A0AB9" w:rsidP="005A0AB9">
      <w:pPr>
        <w:shd w:val="clear" w:color="auto" w:fill="FFFFFF"/>
        <w:spacing w:before="100" w:beforeAutospacing="1" w:after="10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Уточнили имущественные критерии, которые учитывают при назначении:</w:t>
      </w:r>
    </w:p>
    <w:p w:rsidR="005A0AB9" w:rsidRPr="005A0AB9" w:rsidRDefault="005A0AB9" w:rsidP="005A0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ежемесячной выплаты на ребенка от 3 до 7 лет;</w:t>
      </w:r>
    </w:p>
    <w:p w:rsidR="005A0AB9" w:rsidRPr="005A0AB9" w:rsidRDefault="005A0AB9" w:rsidP="005A0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lastRenderedPageBreak/>
        <w:t>ежемесячного пособия женщине, вставшей на учет в ранние сроки беременности;</w:t>
      </w:r>
    </w:p>
    <w:p w:rsidR="005A0AB9" w:rsidRPr="005A0AB9" w:rsidRDefault="005A0AB9" w:rsidP="005A0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ежемесячного пособия на ребенка от 8 до 17 лет.</w:t>
      </w:r>
    </w:p>
    <w:p w:rsidR="005A0AB9" w:rsidRPr="005A0AB9" w:rsidRDefault="005A0AB9" w:rsidP="005A0AB9">
      <w:pPr>
        <w:shd w:val="clear" w:color="auto" w:fill="FFFFFF"/>
        <w:spacing w:before="100" w:beforeAutospacing="1" w:after="10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Заявитель может приложить документы о том, что зарегистрированные на него или членов его семьи транспортные средства и техника находятся в розыске или под арестом. В таком случае их не будут принимать во внимание при определении имущественного положения.</w:t>
      </w:r>
    </w:p>
    <w:p w:rsidR="005A0AB9" w:rsidRPr="005A0AB9" w:rsidRDefault="005A0AB9" w:rsidP="005A0AB9">
      <w:pPr>
        <w:shd w:val="clear" w:color="auto" w:fill="FFFFFF"/>
        <w:spacing w:before="100" w:beforeAutospacing="1" w:after="10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При расчете среднедушевого дохода семьи среди прочего теперь учитывают выигрыши в лотереях, тотализаторах и других играх, которые основаны на риске.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t>Документ: </w:t>
      </w:r>
      <w:hyperlink r:id="rId16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Правительства РФ от 28.01.2022 N 68</w:t>
        </w:r>
      </w:hyperlink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ДМС трудовых мигрантов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Теперь договоры ДМС трудовых мигрантов должны действовать на всей территории России. </w:t>
      </w:r>
      <w:hyperlink r:id="rId17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Ранее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речь шла лишь о тех субъектах РФ, где планировали работать такие сотрудники.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t>Документ: </w:t>
      </w:r>
      <w:hyperlink r:id="rId18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Указание Банка России от 11.10.2021 N 5974-У</w:t>
        </w:r>
      </w:hyperlink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ОСАГО</w:t>
      </w:r>
    </w:p>
    <w:p w:rsidR="005A0AB9" w:rsidRPr="005A0AB9" w:rsidRDefault="005A0AB9" w:rsidP="005A0AB9">
      <w:pPr>
        <w:shd w:val="clear" w:color="auto" w:fill="FFFFFF"/>
        <w:spacing w:before="100" w:beforeAutospacing="1" w:after="10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Начала действовать новая таблица коэффициентов "бонус-</w:t>
      </w:r>
      <w:proofErr w:type="spellStart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малус</w:t>
      </w:r>
      <w:proofErr w:type="spellEnd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" (КБМ). Коэффициент страховых тарифов зависит от количества страховых возмещений в предыдущие периоды.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Если ранее максимальный КБМ составлял </w:t>
      </w:r>
      <w:hyperlink r:id="rId19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2,45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, то теперь — </w:t>
      </w:r>
      <w:hyperlink r:id="rId20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3,92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. Минимальный КБМ снизился с </w:t>
      </w:r>
      <w:hyperlink r:id="rId21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0,5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до </w:t>
      </w:r>
      <w:hyperlink r:id="rId22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0,46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. Изменения могут отразиться на цене полисов ОСАГО.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t>Документ: </w:t>
      </w:r>
      <w:hyperlink r:id="rId23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Указание Банка России от 08.12.2021 N 6007-У</w:t>
        </w:r>
      </w:hyperlink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1"/>
        <w:rPr>
          <w:rFonts w:ascii="Arial" w:eastAsia="Times New Roman" w:hAnsi="Arial" w:cs="Arial"/>
          <w:b/>
          <w:bCs/>
          <w:color w:val="0E0E0E"/>
          <w:sz w:val="36"/>
          <w:szCs w:val="36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33"/>
          <w:szCs w:val="33"/>
          <w:bdr w:val="none" w:sz="0" w:space="0" w:color="auto" w:frame="1"/>
          <w:lang w:eastAsia="ru-RU"/>
        </w:rPr>
        <w:t>С 7 апреля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Льготная ипотека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Правительство уточняет условия льготной ипотеки. Новая ставка </w:t>
      </w:r>
      <w:hyperlink r:id="rId24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составит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не более 12% годовых. До 7 апреля ипотеку можно взять </w:t>
      </w:r>
      <w:hyperlink r:id="rId25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по ставке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до 7% годовых.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Максимальный размер кредита или займа </w:t>
      </w:r>
      <w:hyperlink r:id="rId26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повысят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с 3 млн руб.:</w:t>
      </w:r>
    </w:p>
    <w:p w:rsidR="005A0AB9" w:rsidRPr="005A0AB9" w:rsidRDefault="005A0AB9" w:rsidP="005A0A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до 12 млн руб. — для жилья в Москве, Санкт-Петербурге, Московской и Ленинградской областях;</w:t>
      </w:r>
    </w:p>
    <w:p w:rsidR="005A0AB9" w:rsidRPr="005A0AB9" w:rsidRDefault="005A0AB9" w:rsidP="005A0A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6 млн руб. — для жилья в остальных регионах.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lastRenderedPageBreak/>
        <w:t>Документ: </w:t>
      </w:r>
      <w:hyperlink r:id="rId27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Правительства РФ от 29.03.2022 N 508</w:t>
        </w:r>
      </w:hyperlink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1"/>
        <w:rPr>
          <w:rFonts w:ascii="Arial" w:eastAsia="Times New Roman" w:hAnsi="Arial" w:cs="Arial"/>
          <w:b/>
          <w:bCs/>
          <w:color w:val="0E0E0E"/>
          <w:sz w:val="36"/>
          <w:szCs w:val="36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33"/>
          <w:szCs w:val="33"/>
          <w:bdr w:val="none" w:sz="0" w:space="0" w:color="auto" w:frame="1"/>
          <w:lang w:eastAsia="ru-RU"/>
        </w:rPr>
        <w:t>30 апреля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 xml:space="preserve">Туристический </w:t>
      </w:r>
      <w:proofErr w:type="spellStart"/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кешбэк</w:t>
      </w:r>
      <w:proofErr w:type="spellEnd"/>
    </w:p>
    <w:p w:rsidR="005A0AB9" w:rsidRPr="005A0AB9" w:rsidRDefault="005A0AB9" w:rsidP="005A0AB9">
      <w:pPr>
        <w:shd w:val="clear" w:color="auto" w:fill="FFFFFF"/>
        <w:spacing w:before="100" w:beforeAutospacing="1" w:after="10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Подойдет к концу срок оплаты путевок, по которым турист может получить возмещение стоимости в размере 20% (но не более 20 тыс. руб.).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Программа действует для поездок по России. Среди ее </w:t>
      </w:r>
      <w:hyperlink r:id="rId28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условий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:</w:t>
      </w:r>
    </w:p>
    <w:p w:rsidR="005A0AB9" w:rsidRPr="005A0AB9" w:rsidRDefault="005A0AB9" w:rsidP="005A0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оплата картой "МИР";</w:t>
      </w:r>
    </w:p>
    <w:p w:rsidR="005A0AB9" w:rsidRPr="005A0AB9" w:rsidRDefault="005A0AB9" w:rsidP="005A0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минимальная длительность проживания в гостинице — 2 ночи;</w:t>
      </w:r>
    </w:p>
    <w:p w:rsidR="005A0AB9" w:rsidRPr="005A0AB9" w:rsidRDefault="005A0AB9" w:rsidP="005A0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срок окончания поездки — не позднее 30 июня.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t>Документ: </w:t>
      </w:r>
      <w:hyperlink r:id="rId29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Приказ Ростуризма от 05.03.2022 N 64-Пр-22</w:t>
        </w:r>
      </w:hyperlink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1"/>
        <w:rPr>
          <w:rFonts w:ascii="Arial" w:eastAsia="Times New Roman" w:hAnsi="Arial" w:cs="Arial"/>
          <w:b/>
          <w:bCs/>
          <w:color w:val="0E0E0E"/>
          <w:sz w:val="36"/>
          <w:szCs w:val="36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33"/>
          <w:szCs w:val="33"/>
          <w:bdr w:val="none" w:sz="0" w:space="0" w:color="auto" w:frame="1"/>
          <w:lang w:eastAsia="ru-RU"/>
        </w:rPr>
        <w:t>С 1 мая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 xml:space="preserve">Долги по </w:t>
      </w:r>
      <w:proofErr w:type="spellStart"/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потребкредитам</w:t>
      </w:r>
      <w:proofErr w:type="spellEnd"/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Банки не смогут "по умолчанию" списывать выплаты из </w:t>
      </w:r>
      <w:proofErr w:type="spellStart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fldChar w:fldCharType="begin"/>
      </w: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instrText xml:space="preserve"> HYPERLINK "consultantplus://offline/main?base=law;n=392511;dst=100798" </w:instrText>
      </w: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fldChar w:fldCharType="separate"/>
      </w:r>
      <w:r w:rsidRPr="005A0AB9">
        <w:rPr>
          <w:rFonts w:ascii="Arial" w:eastAsia="Times New Roman" w:hAnsi="Arial" w:cs="Arial"/>
          <w:color w:val="85005E"/>
          <w:sz w:val="26"/>
          <w:szCs w:val="26"/>
          <w:u w:val="single"/>
          <w:bdr w:val="none" w:sz="0" w:space="0" w:color="auto" w:frame="1"/>
          <w:lang w:eastAsia="ru-RU"/>
        </w:rPr>
        <w:t>спецперечня</w:t>
      </w:r>
      <w:proofErr w:type="spellEnd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fldChar w:fldCharType="end"/>
      </w: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 в счет погашения долгов по </w:t>
      </w:r>
      <w:proofErr w:type="spellStart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потребкредитам</w:t>
      </w:r>
      <w:proofErr w:type="spellEnd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. Нужно будет дополнительное согласие заемщика в отношении конкретной выплаты.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t>Документ: </w:t>
      </w:r>
      <w:hyperlink r:id="rId30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Федеральный закон от 30.12.2021 N 444-ФЗ</w:t>
        </w:r>
      </w:hyperlink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1"/>
        <w:rPr>
          <w:rFonts w:ascii="Arial" w:eastAsia="Times New Roman" w:hAnsi="Arial" w:cs="Arial"/>
          <w:b/>
          <w:bCs/>
          <w:color w:val="0E0E0E"/>
          <w:sz w:val="36"/>
          <w:szCs w:val="36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33"/>
          <w:szCs w:val="33"/>
          <w:bdr w:val="none" w:sz="0" w:space="0" w:color="auto" w:frame="1"/>
          <w:lang w:eastAsia="ru-RU"/>
        </w:rPr>
        <w:t>С 1 июня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Меры соцзащиты</w: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  <w:t xml:space="preserve">                                                                                      </w:t>
      </w: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Органы и организации, которые предоставляют меры соцзащиты в </w:t>
      </w:r>
      <w:proofErr w:type="spellStart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беззаявительном</w:t>
      </w:r>
      <w:proofErr w:type="spellEnd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 порядке, смогут использовать банковские реквизиты граждан из </w:t>
      </w:r>
      <w:hyperlink r:id="rId31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ЕГИССО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. Не позднее рабочего дня, следующего за днем перечисления выплаты, физлицу </w:t>
      </w:r>
      <w:hyperlink r:id="rId32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направят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 информацию о ней через портал </w:t>
      </w:r>
      <w:proofErr w:type="spellStart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госуслуг</w:t>
      </w:r>
      <w:proofErr w:type="spellEnd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t>Документ: </w:t>
      </w:r>
      <w:hyperlink r:id="rId33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 Правительства РФ от 08.07.2021 N 1150</w:t>
        </w:r>
      </w:hyperlink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Система идентификации болельщиков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На официальных спортивных соревнованиях идентификация и аутентификация зрителей и участников </w:t>
      </w:r>
      <w:hyperlink r:id="rId34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будет обязательной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С помощью системы идентификации болельщиков </w:t>
      </w:r>
      <w:hyperlink r:id="rId35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станут вести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реестр электронных </w:t>
      </w:r>
      <w:hyperlink r:id="rId36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персонифицированных карт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. Чтобы получить такую карту, болельщику нужно </w:t>
      </w:r>
      <w:hyperlink r:id="rId37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подать заявление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 на портале </w:t>
      </w:r>
      <w:proofErr w:type="spellStart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госуслуг</w:t>
      </w:r>
      <w:proofErr w:type="spellEnd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t>Документ: </w:t>
      </w:r>
      <w:hyperlink r:id="rId38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Федеральный закон от 30.12.2021 N 462-ФЗ</w:t>
        </w:r>
      </w:hyperlink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1"/>
        <w:rPr>
          <w:rFonts w:ascii="Arial" w:eastAsia="Times New Roman" w:hAnsi="Arial" w:cs="Arial"/>
          <w:b/>
          <w:bCs/>
          <w:color w:val="0E0E0E"/>
          <w:sz w:val="36"/>
          <w:szCs w:val="36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33"/>
          <w:szCs w:val="33"/>
          <w:bdr w:val="none" w:sz="0" w:space="0" w:color="auto" w:frame="1"/>
          <w:lang w:eastAsia="ru-RU"/>
        </w:rPr>
        <w:lastRenderedPageBreak/>
        <w:t>С 20 июня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Автоматические решения ФССП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ФССП </w:t>
      </w:r>
      <w:hyperlink r:id="rId39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будет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без участия должностных лиц принимать ряд решений (например, о возбуждении исполнительного производства или отказе в этом, о взыскании исполнительского сбора). Об этих документах участник исполнительного производства </w:t>
      </w:r>
      <w:hyperlink r:id="rId40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сможет узнать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 с помощью портала </w:t>
      </w:r>
      <w:proofErr w:type="spellStart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госуслуг</w:t>
      </w:r>
      <w:proofErr w:type="spellEnd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Подробнее об усовершенствовании исполнительного производства читайте в нашем </w:t>
      </w:r>
      <w:hyperlink r:id="rId41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обзоре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t>Документ: </w:t>
      </w:r>
      <w:hyperlink r:id="rId42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Федеральный закон от 21.12.2021 N 417-ФЗ</w:t>
        </w:r>
      </w:hyperlink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1"/>
        <w:rPr>
          <w:rFonts w:ascii="Arial" w:eastAsia="Times New Roman" w:hAnsi="Arial" w:cs="Arial"/>
          <w:b/>
          <w:bCs/>
          <w:color w:val="0E0E0E"/>
          <w:sz w:val="36"/>
          <w:szCs w:val="36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33"/>
          <w:szCs w:val="33"/>
          <w:bdr w:val="none" w:sz="0" w:space="0" w:color="auto" w:frame="1"/>
          <w:lang w:eastAsia="ru-RU"/>
        </w:rPr>
        <w:t>С 29 июня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Идентификация клиентов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Для упрощенной идентификации клиенты смогут направлять кредитным, страховым и иным организациям </w:t>
      </w:r>
      <w:hyperlink r:id="rId43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номер водительского удостоверения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При приеме от клиентов-физлиц страховых премий по договорам ОСАГО и КАСКО идентификация </w:t>
      </w:r>
      <w:hyperlink r:id="rId44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не понадобится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, если сумма не превысит 40 тыс. руб. Сейчас порог идентификации для всех страховых премий </w:t>
      </w:r>
      <w:hyperlink r:id="rId45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составляет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15 тыс. руб.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t>Документ</w:t>
      </w: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: </w:t>
      </w:r>
      <w:hyperlink r:id="rId46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Федеральный закон от 30.12.2021 N 483-ФЗ</w:t>
        </w:r>
      </w:hyperlink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Регистрация недвижимости и кадастровый учет</w:t>
      </w:r>
    </w:p>
    <w:p w:rsidR="005A0AB9" w:rsidRPr="005A0AB9" w:rsidRDefault="005A0AB9" w:rsidP="005A0AB9">
      <w:pPr>
        <w:shd w:val="clear" w:color="auto" w:fill="FFFFFF"/>
        <w:spacing w:before="100" w:beforeAutospacing="1" w:after="10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Заявления о постановке на кадастровый учет и </w:t>
      </w:r>
      <w:proofErr w:type="spellStart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госрегистрации</w:t>
      </w:r>
      <w:proofErr w:type="spellEnd"/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 прав на недвижимость нельзя будет высылать почтой. Придется либо подавать документы лично на бумажном носителе, либо направлять в электронном виде.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t>Документ: </w:t>
      </w:r>
      <w:hyperlink r:id="rId47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Федеральный закон от 30.12.2021 N 449-ФЗ</w:t>
        </w:r>
      </w:hyperlink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5A0AB9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Лечение детей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Для оказания медпомощи детям врачи в ряде случаев смогут назначать лекарства не по инструкции. Подробнее об изменениях читайте в нашей </w:t>
      </w:r>
      <w:hyperlink r:id="rId48" w:history="1">
        <w:r w:rsidRPr="005A0AB9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новости</w:t>
        </w:r>
      </w:hyperlink>
      <w:r w:rsidRPr="005A0AB9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.</w:t>
      </w:r>
    </w:p>
    <w:p w:rsidR="005A0AB9" w:rsidRPr="005A0AB9" w:rsidRDefault="005A0AB9" w:rsidP="005A0AB9">
      <w:pPr>
        <w:shd w:val="clear" w:color="auto" w:fill="FFFFFF"/>
        <w:spacing w:beforeAutospacing="1" w:after="0" w:afterAutospacing="1" w:line="286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5A0AB9">
        <w:rPr>
          <w:rFonts w:ascii="Arial" w:eastAsia="Times New Roman" w:hAnsi="Arial" w:cs="Arial"/>
          <w:i/>
          <w:iCs/>
          <w:color w:val="0E0E0E"/>
          <w:sz w:val="26"/>
          <w:szCs w:val="26"/>
          <w:bdr w:val="none" w:sz="0" w:space="0" w:color="auto" w:frame="1"/>
          <w:lang w:eastAsia="ru-RU"/>
        </w:rPr>
        <w:t>Документ: </w:t>
      </w:r>
      <w:hyperlink r:id="rId49" w:history="1">
        <w:r w:rsidRPr="005A0AB9">
          <w:rPr>
            <w:rFonts w:ascii="Arial" w:eastAsia="Times New Roman" w:hAnsi="Arial" w:cs="Arial"/>
            <w:i/>
            <w:iCs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Федеральный закон от 30.12.2021 N 482-ФЗ</w:t>
        </w:r>
      </w:hyperlink>
    </w:p>
    <w:p w:rsidR="00094E8F" w:rsidRDefault="005A0AB9" w:rsidP="005A0AB9">
      <w:r w:rsidRPr="005A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09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A699A"/>
    <w:multiLevelType w:val="multilevel"/>
    <w:tmpl w:val="16C8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A05B5"/>
    <w:multiLevelType w:val="multilevel"/>
    <w:tmpl w:val="2B34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236AB"/>
    <w:multiLevelType w:val="multilevel"/>
    <w:tmpl w:val="D3A4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B9"/>
    <w:rsid w:val="00094E8F"/>
    <w:rsid w:val="00152716"/>
    <w:rsid w:val="00335A5E"/>
    <w:rsid w:val="005A0AB9"/>
    <w:rsid w:val="00901105"/>
    <w:rsid w:val="00C2507A"/>
    <w:rsid w:val="00C45C8D"/>
    <w:rsid w:val="00C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75DA3-095A-49FE-9F0C-467E884B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2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ia.gosuslugi.ru/login/" TargetMode="External"/><Relationship Id="rId18" Type="http://schemas.openxmlformats.org/officeDocument/2006/relationships/hyperlink" Target="consultantplus://offline/main?base=law;n=400982;dst=100008" TargetMode="External"/><Relationship Id="rId26" Type="http://schemas.openxmlformats.org/officeDocument/2006/relationships/hyperlink" Target="consultantplus://offline/main?base=law;n=413175;dst=100062" TargetMode="External"/><Relationship Id="rId39" Type="http://schemas.openxmlformats.org/officeDocument/2006/relationships/hyperlink" Target="consultantplus://offline/main?base=law;n=404054;dst=100086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405183;dst=101551" TargetMode="External"/><Relationship Id="rId34" Type="http://schemas.openxmlformats.org/officeDocument/2006/relationships/hyperlink" Target="consultantplus://offline/main?base=law;n=405444;dst=100020" TargetMode="External"/><Relationship Id="rId42" Type="http://schemas.openxmlformats.org/officeDocument/2006/relationships/hyperlink" Target="consultantplus://offline/main?base=law;n=404054;dst=0" TargetMode="External"/><Relationship Id="rId47" Type="http://schemas.openxmlformats.org/officeDocument/2006/relationships/hyperlink" Target="consultantplus://offline/main?base=law;n=405430;dst=100059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main?base=law;n=411135;dst=100263" TargetMode="External"/><Relationship Id="rId12" Type="http://schemas.openxmlformats.org/officeDocument/2006/relationships/hyperlink" Target="consultantplus://offline/main?base=law;n=385302;dst=100017" TargetMode="External"/><Relationship Id="rId17" Type="http://schemas.openxmlformats.org/officeDocument/2006/relationships/hyperlink" Target="consultantplus://offline/main?base=law;n=401072;dst=100029" TargetMode="External"/><Relationship Id="rId25" Type="http://schemas.openxmlformats.org/officeDocument/2006/relationships/hyperlink" Target="consultantplus://offline/main?base=law;n=399011;dst=100336" TargetMode="External"/><Relationship Id="rId33" Type="http://schemas.openxmlformats.org/officeDocument/2006/relationships/hyperlink" Target="consultantplus://offline/main?base=law;n=402639;dst=3" TargetMode="External"/><Relationship Id="rId38" Type="http://schemas.openxmlformats.org/officeDocument/2006/relationships/hyperlink" Target="consultantplus://offline/main?base=law;n=405444;dst=0" TargetMode="External"/><Relationship Id="rId46" Type="http://schemas.openxmlformats.org/officeDocument/2006/relationships/hyperlink" Target="consultantplus://offline/main?base=law;n=405485;dst=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408290;dst=100006" TargetMode="External"/><Relationship Id="rId20" Type="http://schemas.openxmlformats.org/officeDocument/2006/relationships/hyperlink" Target="consultantplus://offline/main?base=law;n=405183;dst=101318" TargetMode="External"/><Relationship Id="rId29" Type="http://schemas.openxmlformats.org/officeDocument/2006/relationships/hyperlink" Target="consultantplus://offline/main?base=law;n=331314;dst=100007" TargetMode="External"/><Relationship Id="rId41" Type="http://schemas.openxmlformats.org/officeDocument/2006/relationships/hyperlink" Target="https://ondb.consultant.ru/news/17965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397146;dst=100054" TargetMode="External"/><Relationship Id="rId24" Type="http://schemas.openxmlformats.org/officeDocument/2006/relationships/hyperlink" Target="consultantplus://offline/main?base=law;n=413175;dst=100066" TargetMode="External"/><Relationship Id="rId32" Type="http://schemas.openxmlformats.org/officeDocument/2006/relationships/hyperlink" Target="consultantplus://offline/main?base=law;n=402639;dst=100049" TargetMode="External"/><Relationship Id="rId37" Type="http://schemas.openxmlformats.org/officeDocument/2006/relationships/hyperlink" Target="consultantplus://offline/main?base=law;n=405444;dst=100043" TargetMode="External"/><Relationship Id="rId40" Type="http://schemas.openxmlformats.org/officeDocument/2006/relationships/hyperlink" Target="consultantplus://offline/main?base=law;n=404054;dst=100149" TargetMode="External"/><Relationship Id="rId45" Type="http://schemas.openxmlformats.org/officeDocument/2006/relationships/hyperlink" Target="consultantplus://offline/main?base=law;n=412737;dst=100376" TargetMode="External"/><Relationship Id="rId5" Type="http://schemas.openxmlformats.org/officeDocument/2006/relationships/hyperlink" Target="https://ondb.consultant.ru/news/?tag_ids=818" TargetMode="External"/><Relationship Id="rId15" Type="http://schemas.openxmlformats.org/officeDocument/2006/relationships/hyperlink" Target="consultantplus://offline/main?base=law;n=402529;dst=100007" TargetMode="External"/><Relationship Id="rId23" Type="http://schemas.openxmlformats.org/officeDocument/2006/relationships/hyperlink" Target="consultantplus://offline/main?base=law;n=405183;dst=101298" TargetMode="External"/><Relationship Id="rId28" Type="http://schemas.openxmlformats.org/officeDocument/2006/relationships/hyperlink" Target="consultantplus://offline/main?base=law;n=404976;dst=100014" TargetMode="External"/><Relationship Id="rId36" Type="http://schemas.openxmlformats.org/officeDocument/2006/relationships/hyperlink" Target="consultantplus://offline/main?base=law;n=405444;dst=100014" TargetMode="External"/><Relationship Id="rId49" Type="http://schemas.openxmlformats.org/officeDocument/2006/relationships/hyperlink" Target="consultantplus://offline/main?base=law;n=405472;dst=100013" TargetMode="External"/><Relationship Id="rId10" Type="http://schemas.openxmlformats.org/officeDocument/2006/relationships/hyperlink" Target="https://sbp.nspk.ru/participants/" TargetMode="External"/><Relationship Id="rId19" Type="http://schemas.openxmlformats.org/officeDocument/2006/relationships/hyperlink" Target="consultantplus://offline/main?base=law;n=405183;dst=101453" TargetMode="External"/><Relationship Id="rId31" Type="http://schemas.openxmlformats.org/officeDocument/2006/relationships/hyperlink" Target="http://egisso.ru/" TargetMode="External"/><Relationship Id="rId44" Type="http://schemas.openxmlformats.org/officeDocument/2006/relationships/hyperlink" Target="consultantplus://offline/main?base=law;n=405485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12036;dst=0" TargetMode="External"/><Relationship Id="rId14" Type="http://schemas.openxmlformats.org/officeDocument/2006/relationships/hyperlink" Target="consultantplus://offline/main?base=law;n=402639;dst=100035" TargetMode="External"/><Relationship Id="rId22" Type="http://schemas.openxmlformats.org/officeDocument/2006/relationships/hyperlink" Target="consultantplus://offline/main?base=law;n=405183;dst=101430" TargetMode="External"/><Relationship Id="rId27" Type="http://schemas.openxmlformats.org/officeDocument/2006/relationships/hyperlink" Target="consultantplus://offline/main?base=law;n=413175;dst=0" TargetMode="External"/><Relationship Id="rId30" Type="http://schemas.openxmlformats.org/officeDocument/2006/relationships/hyperlink" Target="consultantplus://offline/main?base=law;n=405336;dst=100034" TargetMode="External"/><Relationship Id="rId35" Type="http://schemas.openxmlformats.org/officeDocument/2006/relationships/hyperlink" Target="consultantplus://offline/main?base=law;n=405444;dst=100037" TargetMode="External"/><Relationship Id="rId43" Type="http://schemas.openxmlformats.org/officeDocument/2006/relationships/hyperlink" Target="consultantplus://offline/main?base=law;n=405485;dst=100043" TargetMode="External"/><Relationship Id="rId48" Type="http://schemas.openxmlformats.org/officeDocument/2006/relationships/hyperlink" Target="https://ondb.consultant.ru/news/18164/" TargetMode="External"/><Relationship Id="rId8" Type="http://schemas.openxmlformats.org/officeDocument/2006/relationships/hyperlink" Target="consultantplus://offline/main?base=law;n=411135;dst=6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LDN</cp:lastModifiedBy>
  <cp:revision>2</cp:revision>
  <dcterms:created xsi:type="dcterms:W3CDTF">2022-04-04T04:23:00Z</dcterms:created>
  <dcterms:modified xsi:type="dcterms:W3CDTF">2022-04-04T04:23:00Z</dcterms:modified>
</cp:coreProperties>
</file>