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A" w:rsidRPr="00D8504A" w:rsidRDefault="00D8504A" w:rsidP="00D8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D8504A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выполнение работ по  капитальному ремонту участка сетей холодного водоснабжения с. Новицкое от ВК  дома № 20а ул. Лазо до жилого дома № 24 протяженностью 100 метров, D- 25 мм, с подводом к жилым домам (L - 25 метров d-20 мм).</w:t>
      </w:r>
    </w:p>
    <w:p w:rsidR="00D8504A" w:rsidRPr="00D8504A" w:rsidRDefault="00D8504A" w:rsidP="00D8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Наименование, характеристики и объём выполняемых  работ </w:t>
      </w:r>
    </w:p>
    <w:p w:rsidR="00D8504A" w:rsidRPr="00D8504A" w:rsidRDefault="00D8504A" w:rsidP="00D8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 капитальному ремонту участка сетей холодного водоснабжения с. Новицкое от ВК  дома № 20а ул. Лазо до жилого дома № 24 протяженностью 100 метров, D- 25 мм, </w:t>
      </w:r>
    </w:p>
    <w:p w:rsidR="00D8504A" w:rsidRDefault="00D8504A" w:rsidP="00D8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подводом к жилым домам (L - 25 метров d-20 мм).</w:t>
      </w:r>
    </w:p>
    <w:p w:rsidR="00D8504A" w:rsidRPr="00D8504A" w:rsidRDefault="00D8504A" w:rsidP="00D85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numPr>
          <w:ilvl w:val="0"/>
          <w:numId w:val="1"/>
        </w:numPr>
        <w:spacing w:after="6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 объемов работ</w:t>
      </w:r>
    </w:p>
    <w:tbl>
      <w:tblPr>
        <w:tblW w:w="9783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514"/>
        <w:gridCol w:w="1699"/>
        <w:gridCol w:w="1277"/>
        <w:gridCol w:w="1560"/>
        <w:gridCol w:w="1277"/>
      </w:tblGrid>
      <w:tr w:rsidR="00D8504A" w:rsidRPr="00D8504A" w:rsidTr="00D8504A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8504A" w:rsidRPr="00D8504A" w:rsidTr="00D8504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504A" w:rsidRPr="00D8504A" w:rsidTr="00D8504A">
        <w:trPr>
          <w:trHeight w:val="43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850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Раздел 1. Новый Раздел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0,15 м3, группа грунтов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ТЕР01-01-010-44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0,0882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ТЕР01-02-055-03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под трубопроводы песчаного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ТЕР23-01-001-01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653E82">
        <w:trPr>
          <w:trHeight w:val="5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Укладка трубопроводов из полиэтиленовых труб диаметром 20 мм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ТЕР22-01-021-01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фасонных частей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ТЕР22-03-002-01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4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Промывка с дезинфекцией трубопроводов диаметром 50-65 мм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ТЕР22-06-001-01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6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круглых колодцев из сборного железобетона в грунтах мокрых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0,196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ТЕР22-04-001-02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ТЕР16-07-003-02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ТЕР16-07-003-05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653E82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0,0882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ТЕР01-02-061-03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.), </w:t>
            </w:r>
            <w:proofErr w:type="gramStart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</w:t>
            </w:r>
            <w:proofErr w:type="gramEnd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грунтов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ТЕР01-01-033-03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04A" w:rsidRPr="00D8504A" w:rsidTr="00D8504A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653E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Планировка площадей бульдозерами мощностью 59 кВт (80л.</w:t>
            </w:r>
            <w:proofErr w:type="gramStart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м</w:t>
            </w:r>
            <w:proofErr w:type="gramStart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спланированной поверхности за 1 проход бульдозера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0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ТЕР01-01-036-01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A" w:rsidRPr="00D8504A" w:rsidRDefault="00D8504A" w:rsidP="00D850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504A" w:rsidRPr="00D8504A" w:rsidRDefault="00D8504A" w:rsidP="00D850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Требования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качеству, техническим, функциональным характеристикам 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(потребительским свойствам), безопасности  и иные показатели, связанные 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 определением соответствия </w:t>
      </w: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D8504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 капитальному ремонту участка сетей холодного водоснабжения с. Новицкое от ВК  дома № 20а ул. Лазо до жилого дома № 24 протяженностью 100 метров, D- 25 мм, с подводом к жилым домам (L - 25 метров d-20 мм).</w:t>
      </w: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545"/>
        <w:gridCol w:w="4109"/>
      </w:tblGrid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tabs>
                <w:tab w:val="left" w:pos="720"/>
                <w:tab w:val="num" w:pos="1440"/>
              </w:tabs>
              <w:autoSpaceDE w:val="0"/>
              <w:autoSpaceDN w:val="0"/>
              <w:adjustRightInd w:val="0"/>
              <w:spacing w:before="57" w:after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tabs>
                <w:tab w:val="left" w:pos="720"/>
                <w:tab w:val="num" w:pos="1440"/>
              </w:tabs>
              <w:autoSpaceDE w:val="0"/>
              <w:autoSpaceDN w:val="0"/>
              <w:adjustRightInd w:val="0"/>
              <w:spacing w:before="57" w:after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и (или) минимальные значения показателей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tabs>
                <w:tab w:val="left" w:pos="720"/>
                <w:tab w:val="num" w:pos="1440"/>
              </w:tabs>
              <w:autoSpaceDE w:val="0"/>
              <w:autoSpaceDN w:val="0"/>
              <w:adjustRightInd w:val="0"/>
              <w:spacing w:before="57" w:after="0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показателей, которые не могут изменяться</w:t>
            </w: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Песок. Сыпучий материал, образовавшийся в результате естественного разрушения скальных горных пород и получаемый при разработке песчано-гравийных месторождений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4A" w:rsidRPr="00D8504A" w:rsidRDefault="00D8504A" w:rsidP="00D850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полиэтиленовые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</w:t>
            </w: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С. Диаметр 20 мм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температур окружающей среды от –50 до +50 </w:t>
            </w: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С. Диаметр 20 мм</w:t>
            </w: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стеновое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стеновое железобетонное должно относиться к группе несгораемых конструкций. Предел огнестойкости кольца  не менее 1 часа.   Изготовлено из бетона класса В15. Расход арматуры на одно кольцо   5,66 кг.  Объем кольца  0,24 м3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 огнестойкости кольца  не менее 1 часа. Бетон класса В15. Расход арматуры на одно кольцо   5,66 кг. Объем кольца  0,24 м3</w:t>
            </w: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перекрытия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перекрытия железобетонная должна относиться к группе несгораемых конструкций. Предел огнестойкости плиты  не менее 1 часа.  </w:t>
            </w:r>
            <w:proofErr w:type="gramStart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Изготовлена</w:t>
            </w:r>
            <w:proofErr w:type="gramEnd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бетона класса В15. Расход арматуры на одну плиту   8,38кг.  Объем плиты  0,10 м3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 огнестойкости кольца  не менее 1 часа.  Бетон класса В15. Расход арматуры на одну плиту   8,38 кг.  Объем плиты  0,10 м3</w:t>
            </w:r>
          </w:p>
          <w:p w:rsidR="00D8504A" w:rsidRPr="00D8504A" w:rsidRDefault="00D8504A" w:rsidP="00D8504A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04A" w:rsidRPr="00D8504A" w:rsidTr="00653E82">
        <w:trPr>
          <w:trHeight w:val="9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Люк чугунный</w:t>
            </w:r>
          </w:p>
          <w:p w:rsidR="00D8504A" w:rsidRPr="00D8504A" w:rsidRDefault="00D8504A" w:rsidP="00D8504A">
            <w:pPr>
              <w:tabs>
                <w:tab w:val="num" w:pos="1440"/>
              </w:tabs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Люк чугунный для колодцев. Тип люка - легкий, диаметр корпуса 850мм, высота корпуса 110 мм, вес люка 71 кг, диаметр крышки люка 686 мм, толщина крышки люка 65 мм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num" w:pos="1440"/>
              </w:tabs>
              <w:spacing w:after="12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корпуса 850 мм, высота корпуса 110 мм, вес люка 71 кг, диаметр крышки люка 686 мм, толщина крышки люка 65 мм</w:t>
            </w:r>
          </w:p>
        </w:tc>
      </w:tr>
      <w:tr w:rsidR="00D8504A" w:rsidRPr="00D8504A" w:rsidTr="00653E82">
        <w:trPr>
          <w:trHeight w:val="2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Кран шаровой муфтовый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center" w:pos="4677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должен быть  изготовлен  из латуни. Запорный элемент - </w:t>
            </w:r>
            <w:proofErr w:type="spellStart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щар</w:t>
            </w:r>
            <w:proofErr w:type="spellEnd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нержавеющей стали. Уплотнение шара - фторопласт Ф-4, выполненный в виде уплотнительных седел. Рабочая среда изделия  вода или пар. Номинальное давление  не ниже 1,6 МПа. Диаметр 20мм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20мм</w:t>
            </w:r>
          </w:p>
        </w:tc>
      </w:tr>
    </w:tbl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Pr="00D8504A" w:rsidRDefault="00D8504A" w:rsidP="00D8504A">
      <w:pPr>
        <w:tabs>
          <w:tab w:val="left" w:pos="375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ab/>
      </w: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53E82" w:rsidRPr="00D8504A" w:rsidRDefault="00653E82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Pr="00D8504A" w:rsidRDefault="00D8504A" w:rsidP="00D8504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3. Пере</w:t>
      </w:r>
      <w:bookmarkStart w:id="0" w:name="_GoBack"/>
      <w:bookmarkEnd w:id="0"/>
      <w:r w:rsidRPr="00D8504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чень 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D8504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работ </w:t>
      </w:r>
    </w:p>
    <w:p w:rsidR="00D8504A" w:rsidRPr="00D8504A" w:rsidRDefault="00D8504A" w:rsidP="00D850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 капитальному ремонту участка сетей холодного водоснабжения с. Новицкое от ВК  дома № 20а ул. Лазо до жилого дома № 24 протяженностью 100 метров, D- 25 мм, с подводом к жилым домам (L - 25 метров d-20 мм).</w:t>
      </w:r>
    </w:p>
    <w:tbl>
      <w:tblPr>
        <w:tblpPr w:leftFromText="180" w:rightFromText="180" w:bottomFromText="200" w:vertAnchor="text" w:horzAnchor="margin" w:tblpY="2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8"/>
        <w:gridCol w:w="2268"/>
        <w:gridCol w:w="2234"/>
      </w:tblGrid>
      <w:tr w:rsidR="00D8504A" w:rsidRPr="00D8504A" w:rsidTr="00D8504A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</w:t>
            </w:r>
          </w:p>
        </w:tc>
      </w:tr>
      <w:tr w:rsidR="00D8504A" w:rsidRPr="00D8504A" w:rsidTr="00D8504A">
        <w:trPr>
          <w:trHeight w:val="4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4A" w:rsidRPr="00D8504A" w:rsidRDefault="00D8504A" w:rsidP="00D8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Песок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Песок. Сыпучий материал, образовавшийся в результате естественного разрушения скальных горных пород и получаемый при разработке песчано-гравийных месторождений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Трубы полиэтиленовые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ОС. Диаметр 20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Кольцо стеновое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Кольцо стеновое железобетонное должно относиться к группе несгораемых конструкций. Предел огнестойкости кольца  не менее 1 часа.   Изготовлено из бетона класса В15. Расход арматуры на одно кольцо   5,66 кг.  Объем кольца  0,24 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Плита перекрытия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 xml:space="preserve">Плита перекрытия железобетонная должна относиться к группе несгораемых конструкций. Предел огнестойкости плиты  не менее 1 часа.  </w:t>
            </w:r>
            <w:proofErr w:type="gramStart"/>
            <w:r w:rsidRPr="00D8504A">
              <w:rPr>
                <w:rFonts w:ascii="Times New Roman" w:eastAsia="Times New Roman" w:hAnsi="Times New Roman" w:cs="Times New Roman"/>
              </w:rPr>
              <w:t>Изготовлена</w:t>
            </w:r>
            <w:proofErr w:type="gramEnd"/>
            <w:r w:rsidRPr="00D8504A">
              <w:rPr>
                <w:rFonts w:ascii="Times New Roman" w:eastAsia="Times New Roman" w:hAnsi="Times New Roman" w:cs="Times New Roman"/>
              </w:rPr>
              <w:t xml:space="preserve"> из бетона класса В15. Расход арматуры на одну плиту   8,38кг.  Объем плиты  0,10 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Люк чугунный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>Люк чугунный для колодцев. Тип люка - легкий, диаметр корпуса 850мм, высота корпуса 110 мм, вес люка 71 кг, диаметр крышки люка 686 мм, толщина крышки люка 65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504A" w:rsidRPr="00D8504A" w:rsidTr="00D8504A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A" w:rsidRPr="00D8504A" w:rsidRDefault="00D8504A" w:rsidP="00D850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8504A">
              <w:rPr>
                <w:rFonts w:ascii="Times New Roman" w:eastAsia="Times New Roman" w:hAnsi="Times New Roman" w:cs="Times New Roman"/>
              </w:rPr>
              <w:t xml:space="preserve">Кран должен быть  изготовлен  из латуни. Запорный элемент - </w:t>
            </w:r>
            <w:proofErr w:type="spellStart"/>
            <w:r w:rsidRPr="00D8504A">
              <w:rPr>
                <w:rFonts w:ascii="Times New Roman" w:eastAsia="Times New Roman" w:hAnsi="Times New Roman" w:cs="Times New Roman"/>
              </w:rPr>
              <w:t>щар</w:t>
            </w:r>
            <w:proofErr w:type="spellEnd"/>
            <w:r w:rsidRPr="00D8504A">
              <w:rPr>
                <w:rFonts w:ascii="Times New Roman" w:eastAsia="Times New Roman" w:hAnsi="Times New Roman" w:cs="Times New Roman"/>
              </w:rPr>
              <w:t xml:space="preserve"> из нержавеющей стали. Уплотнение шара - фторопласт Ф-4, выполненный в виде уплотнительных седел. Рабочая среда изделия  вода или пар. Номинальное давление  не ниже 1,6 МПа. Диаметр 20мм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A" w:rsidRPr="00D8504A" w:rsidRDefault="00D8504A" w:rsidP="00D850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04A" w:rsidRPr="00D8504A" w:rsidRDefault="00D8504A" w:rsidP="00D8504A">
      <w:pPr>
        <w:tabs>
          <w:tab w:val="left" w:pos="37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</w:p>
    <w:p w:rsidR="00D8504A" w:rsidRPr="00D8504A" w:rsidRDefault="00D8504A" w:rsidP="00D8504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04A" w:rsidRPr="00D8504A" w:rsidRDefault="00D8504A" w:rsidP="00D8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из материалов Подрядчика и включены в стоимость начальной цены контракта.</w:t>
      </w:r>
    </w:p>
    <w:p w:rsidR="00D8504A" w:rsidRPr="00D8504A" w:rsidRDefault="00D8504A" w:rsidP="00D8504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504A" w:rsidRPr="00D8504A" w:rsidRDefault="00D8504A" w:rsidP="00D8504A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504A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</w:p>
    <w:p w:rsidR="00D8504A" w:rsidRPr="00D8504A" w:rsidRDefault="00D8504A" w:rsidP="00D8504A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04A" w:rsidRPr="00D8504A" w:rsidRDefault="00D8504A" w:rsidP="00D8504A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504A">
        <w:rPr>
          <w:rFonts w:ascii="Times New Roman" w:eastAsia="Times New Roman" w:hAnsi="Times New Roman" w:cs="Times New Roman"/>
          <w:lang w:eastAsia="ru-RU"/>
        </w:rPr>
        <w:t>В графе « Предложения поставщика» участником закупки указываются:</w:t>
      </w:r>
    </w:p>
    <w:p w:rsidR="00D8504A" w:rsidRPr="00D8504A" w:rsidRDefault="00D8504A" w:rsidP="00D8504A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504A" w:rsidRPr="00D8504A" w:rsidRDefault="00D8504A" w:rsidP="00D8504A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8504A">
        <w:rPr>
          <w:rFonts w:ascii="Times New Roman" w:eastAsia="Times New Roman" w:hAnsi="Times New Roman" w:cs="Times New Roman"/>
          <w:b/>
          <w:lang w:eastAsia="ru-RU"/>
        </w:rPr>
        <w:t>конкретные показатели</w:t>
      </w:r>
      <w:r w:rsidRPr="00D8504A">
        <w:rPr>
          <w:rFonts w:ascii="Times New Roman" w:eastAsia="Times New Roman" w:hAnsi="Times New Roman" w:cs="Times New Roman"/>
          <w:lang w:eastAsia="ru-RU"/>
        </w:rPr>
        <w:t xml:space="preserve">, соответствующие значениям, установленным документацией о таком аукционе, </w:t>
      </w:r>
      <w:r w:rsidRPr="00D8504A">
        <w:rPr>
          <w:rFonts w:ascii="Times New Roman" w:eastAsia="Times New Roman" w:hAnsi="Times New Roman" w:cs="Times New Roman"/>
          <w:b/>
          <w:lang w:eastAsia="ru-RU"/>
        </w:rPr>
        <w:t>и указание на товарный знак</w:t>
      </w:r>
      <w:r w:rsidRPr="00D8504A">
        <w:rPr>
          <w:rFonts w:ascii="Times New Roman" w:eastAsia="Times New Roman" w:hAnsi="Times New Roman" w:cs="Times New Roman"/>
          <w:lang w:eastAsia="ru-RU"/>
        </w:rPr>
        <w:t xml:space="preserve"> (его словесное обозначение) (при наличии), </w:t>
      </w:r>
      <w:r w:rsidRPr="00D8504A">
        <w:rPr>
          <w:rFonts w:ascii="Times New Roman" w:eastAsia="Times New Roman" w:hAnsi="Times New Roman" w:cs="Times New Roman"/>
          <w:b/>
          <w:lang w:eastAsia="ru-RU"/>
        </w:rPr>
        <w:t>знак обслуживания (при наличии), фирменное наименование (при наличии), патенты (при наличии)</w:t>
      </w:r>
      <w:r w:rsidRPr="00D8504A">
        <w:rPr>
          <w:rFonts w:ascii="Times New Roman" w:eastAsia="Times New Roman" w:hAnsi="Times New Roman" w:cs="Times New Roman"/>
          <w:lang w:eastAsia="ru-RU"/>
        </w:rPr>
        <w:t xml:space="preserve">, полезные модели (при наличии), промышленные образцы (при наличии), </w:t>
      </w:r>
      <w:r w:rsidRPr="00D8504A">
        <w:rPr>
          <w:rFonts w:ascii="Times New Roman" w:eastAsia="Times New Roman" w:hAnsi="Times New Roman" w:cs="Times New Roman"/>
          <w:b/>
          <w:lang w:eastAsia="ru-RU"/>
        </w:rPr>
        <w:t>наименование места происхождения товара или наименование производителя</w:t>
      </w:r>
      <w:r w:rsidRPr="00D8504A">
        <w:rPr>
          <w:rFonts w:ascii="Times New Roman" w:eastAsia="Times New Roman" w:hAnsi="Times New Roman" w:cs="Times New Roman"/>
          <w:lang w:eastAsia="ru-RU"/>
        </w:rPr>
        <w:t xml:space="preserve"> предлагаемого для поставки товара при условии отсутствия в данной документации указания на товарный знак, знак</w:t>
      </w:r>
      <w:proofErr w:type="gramEnd"/>
      <w:r w:rsidRPr="00D850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504A">
        <w:rPr>
          <w:rFonts w:ascii="Times New Roman" w:eastAsia="Times New Roman" w:hAnsi="Times New Roman" w:cs="Times New Roman"/>
          <w:lang w:eastAsia="ru-RU"/>
        </w:rPr>
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производителя.</w:t>
      </w:r>
      <w:proofErr w:type="gramEnd"/>
    </w:p>
    <w:p w:rsidR="00D8504A" w:rsidRPr="00D8504A" w:rsidRDefault="00D8504A" w:rsidP="00D8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4A" w:rsidRPr="00D8504A" w:rsidRDefault="00D8504A" w:rsidP="00D8504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4.Требования к качеству работ</w:t>
      </w:r>
    </w:p>
    <w:p w:rsidR="00D8504A" w:rsidRPr="00D8504A" w:rsidRDefault="00D8504A" w:rsidP="00D850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должна  быть  выполнена в полном объеме, в строго установленные сроки, с высоким качеством, в соответствии с муниципальным контрактом.</w:t>
      </w:r>
    </w:p>
    <w:p w:rsidR="00D8504A" w:rsidRPr="00D8504A" w:rsidRDefault="00D8504A" w:rsidP="00D8504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Требования к безопасности работ</w:t>
      </w:r>
    </w:p>
    <w:p w:rsidR="00D8504A" w:rsidRPr="00D8504A" w:rsidRDefault="00D8504A" w:rsidP="00D850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производить в соответствии </w:t>
      </w:r>
      <w:proofErr w:type="gramStart"/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8504A" w:rsidRPr="00D8504A" w:rsidRDefault="00D8504A" w:rsidP="00D8504A">
      <w:pPr>
        <w:spacing w:after="0" w:line="360" w:lineRule="auto"/>
        <w:ind w:right="-1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СНиП III-4-80* - «Техника безопасности в строительстве»;</w:t>
      </w:r>
    </w:p>
    <w:p w:rsidR="00D8504A" w:rsidRPr="00D8504A" w:rsidRDefault="00D8504A" w:rsidP="00D850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СНиП 12-03-2001 – «Безопасность труда в строительстве»;</w:t>
      </w:r>
    </w:p>
    <w:p w:rsidR="00D8504A" w:rsidRPr="00D8504A" w:rsidRDefault="00D8504A" w:rsidP="00D850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СНиП 12-01-2004 - «Организация строительства»;</w:t>
      </w:r>
    </w:p>
    <w:p w:rsidR="00D8504A" w:rsidRPr="00D8504A" w:rsidRDefault="00D8504A" w:rsidP="00D850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ГОСТ 12.3.002-75 – «Процессы производственные. Общие требования безопасности».</w:t>
      </w:r>
    </w:p>
    <w:p w:rsidR="00D8504A" w:rsidRPr="00D8504A" w:rsidRDefault="00D8504A" w:rsidP="00D850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Требования к результатам работ</w:t>
      </w:r>
    </w:p>
    <w:p w:rsidR="00D8504A" w:rsidRPr="00D8504A" w:rsidRDefault="00D8504A" w:rsidP="00D850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- сдача объекта в эксплуатацию;</w:t>
      </w:r>
    </w:p>
    <w:p w:rsidR="00D8504A" w:rsidRPr="00D8504A" w:rsidRDefault="00D8504A" w:rsidP="00D850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исполнительной схемы;</w:t>
      </w:r>
    </w:p>
    <w:p w:rsidR="001E6FE2" w:rsidRDefault="00D8504A" w:rsidP="00D8504A">
      <w:r w:rsidRPr="00D8504A">
        <w:rPr>
          <w:rFonts w:ascii="Times New Roman" w:eastAsia="Calibri" w:hAnsi="Times New Roman" w:cs="Times New Roman"/>
          <w:sz w:val="24"/>
          <w:szCs w:val="24"/>
          <w:lang w:eastAsia="ru-RU"/>
        </w:rPr>
        <w:t>- акты освидетельствования скрытых работ.</w:t>
      </w:r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9ED"/>
    <w:multiLevelType w:val="hybridMultilevel"/>
    <w:tmpl w:val="DEEA5F8E"/>
    <w:lvl w:ilvl="0" w:tplc="D5721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8E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53E82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9F418E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8504A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2014-08-05T00:27:00Z</dcterms:created>
  <dcterms:modified xsi:type="dcterms:W3CDTF">2014-08-05T00:30:00Z</dcterms:modified>
</cp:coreProperties>
</file>