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D" w:rsidRDefault="008B0EFD" w:rsidP="00250128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8B0EFD" w:rsidP="007B3EA3">
      <w:pPr>
        <w:tabs>
          <w:tab w:val="left" w:pos="3969"/>
          <w:tab w:val="left" w:pos="8931"/>
        </w:tabs>
      </w:pPr>
      <w:r>
        <w:t>_________ 2020 года</w:t>
      </w:r>
      <w:r>
        <w:tab/>
        <w:t>село Новицкое</w:t>
      </w:r>
      <w:r>
        <w:tab/>
        <w:t xml:space="preserve">№ </w:t>
      </w:r>
    </w:p>
    <w:p w:rsidR="008B0EFD" w:rsidRPr="008B0EFD" w:rsidRDefault="008B0EFD" w:rsidP="008B0EF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 w:rsidRPr="008B0EFD">
        <w:rPr>
          <w:b/>
          <w:szCs w:val="26"/>
        </w:rPr>
        <w:t>О внесении изменений в муниципальную программу</w:t>
      </w: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«Формирование современной городской среды на территории </w:t>
      </w:r>
      <w:r>
        <w:rPr>
          <w:b/>
          <w:szCs w:val="26"/>
        </w:rPr>
        <w:t xml:space="preserve">Новицкого </w:t>
      </w:r>
      <w:r w:rsidRPr="008B0EFD">
        <w:rPr>
          <w:b/>
          <w:szCs w:val="26"/>
        </w:rPr>
        <w:t xml:space="preserve">сельского поселения Партизанского муниципального района на 2018-2024 годы»,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</w:p>
    <w:p w:rsidR="008B0EFD" w:rsidRDefault="008B0EFD" w:rsidP="00AD00D8">
      <w:pPr>
        <w:ind w:firstLine="709"/>
        <w:jc w:val="both"/>
        <w:rPr>
          <w:szCs w:val="26"/>
        </w:rPr>
      </w:pPr>
    </w:p>
    <w:p w:rsidR="007B3EA3" w:rsidRDefault="007B3EA3" w:rsidP="00AD00D8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Default="007B3EA3" w:rsidP="00AD00D8">
      <w:pPr>
        <w:pStyle w:val="3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A655AB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t xml:space="preserve">1. </w:t>
      </w:r>
      <w:r w:rsidRPr="00AD00D8">
        <w:t xml:space="preserve">Внести в постановление администрации Новицкого сельского поселения Партизанского муниципального района Приморского края </w:t>
      </w:r>
      <w:r w:rsidRPr="00AD00D8">
        <w:t>от 01.11.2017г. № 53</w:t>
      </w:r>
      <w:r w:rsidRPr="00AD00D8">
        <w:t xml:space="preserve"> «</w:t>
      </w:r>
      <w:r w:rsidRPr="00AD00D8"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AD00D8">
        <w:t>» (в ред. от 2</w:t>
      </w:r>
      <w:r w:rsidRPr="00AD00D8">
        <w:t>0</w:t>
      </w:r>
      <w:r w:rsidRPr="00AD00D8">
        <w:t>.</w:t>
      </w:r>
      <w:r w:rsidRPr="00AD00D8">
        <w:t>05</w:t>
      </w:r>
      <w:r w:rsidRPr="00AD00D8">
        <w:t>.201</w:t>
      </w:r>
      <w:r w:rsidRPr="00AD00D8">
        <w:t>9</w:t>
      </w:r>
      <w:r w:rsidRPr="00AD00D8">
        <w:t xml:space="preserve"> № </w:t>
      </w:r>
      <w:r w:rsidRPr="00AD00D8">
        <w:t>31</w:t>
      </w:r>
      <w:r w:rsidRPr="00AD00D8">
        <w:t>) следующие изменения:</w:t>
      </w:r>
    </w:p>
    <w:p w:rsidR="00A655AB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  <w:rPr>
          <w:szCs w:val="26"/>
        </w:rPr>
      </w:pPr>
      <w:r w:rsidRPr="00AD00D8">
        <w:t xml:space="preserve">1.1. </w:t>
      </w:r>
      <w:r w:rsidRPr="00AD00D8">
        <w:rPr>
          <w:szCs w:val="26"/>
        </w:rPr>
        <w:t>Наименование постановления изложить в новой редакции:</w:t>
      </w:r>
    </w:p>
    <w:p w:rsidR="004C6C47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lastRenderedPageBreak/>
        <w:t>«</w:t>
      </w:r>
      <w:r w:rsidRPr="00AD00D8">
        <w:t>Об утверждении муниципальной программы</w:t>
      </w:r>
      <w:r w:rsidRPr="00AD00D8">
        <w:t xml:space="preserve"> </w:t>
      </w:r>
      <w:r w:rsidRPr="00AD00D8">
        <w:t>«</w:t>
      </w:r>
      <w:r w:rsidRPr="00AD00D8"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AD00D8">
        <w:t>»</w:t>
      </w:r>
    </w:p>
    <w:p w:rsidR="00AD00D8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  <w:rPr>
          <w:szCs w:val="26"/>
        </w:rPr>
      </w:pPr>
      <w:r w:rsidRPr="00AD00D8">
        <w:t xml:space="preserve">1.2. </w:t>
      </w:r>
      <w:r w:rsidR="00AD00D8" w:rsidRPr="00AD00D8">
        <w:rPr>
          <w:szCs w:val="26"/>
        </w:rPr>
        <w:t>Пункт 1 постановления изложить в новой редакции:</w:t>
      </w:r>
    </w:p>
    <w:p w:rsidR="00A655AB" w:rsidRPr="004C6C47" w:rsidRDefault="00AD00D8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rPr>
          <w:szCs w:val="26"/>
        </w:rPr>
        <w:t xml:space="preserve">«1. </w:t>
      </w:r>
      <w:r w:rsidR="00A655AB" w:rsidRPr="00AD00D8">
        <w:t>Утвердить Муниципальную программу «</w:t>
      </w:r>
      <w:r w:rsidRPr="00AD00D8">
        <w:t>Формирование современной городской среды на территории Новицкого сельского поселения Партизанского</w:t>
      </w:r>
      <w:r w:rsidRPr="00A655AB">
        <w:t xml:space="preserve"> муниципального района на 2018-2027 гг.</w:t>
      </w:r>
      <w:r w:rsidR="00A655AB" w:rsidRPr="00A655AB">
        <w:t>» (прилагается).</w:t>
      </w:r>
    </w:p>
    <w:p w:rsidR="007B3EA3" w:rsidRDefault="00AD00D8" w:rsidP="00AD00D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>
        <w:rPr>
          <w:rFonts w:ascii="Times New Roman" w:hAnsi="Times New Roman"/>
          <w:sz w:val="26"/>
          <w:szCs w:val="26"/>
        </w:rPr>
        <w:t>1.</w:t>
      </w:r>
      <w:r w:rsidR="00A655AB">
        <w:rPr>
          <w:rFonts w:ascii="Times New Roman" w:hAnsi="Times New Roman"/>
          <w:sz w:val="26"/>
          <w:szCs w:val="26"/>
        </w:rPr>
        <w:t>3</w:t>
      </w:r>
      <w:r w:rsidR="007B3EA3" w:rsidRPr="00C200AA">
        <w:rPr>
          <w:rFonts w:ascii="Times New Roman" w:hAnsi="Times New Roman"/>
          <w:sz w:val="26"/>
          <w:szCs w:val="26"/>
        </w:rPr>
        <w:t xml:space="preserve">. </w:t>
      </w:r>
      <w:r w:rsidR="007B3EA3" w:rsidRPr="001C77F7">
        <w:rPr>
          <w:rFonts w:ascii="Times New Roman" w:hAnsi="Times New Roman"/>
          <w:sz w:val="26"/>
          <w:szCs w:val="26"/>
        </w:rPr>
        <w:t>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</w:t>
      </w:r>
      <w:r w:rsidR="004C6C47">
        <w:rPr>
          <w:rFonts w:ascii="Times New Roman" w:hAnsi="Times New Roman"/>
          <w:sz w:val="26"/>
          <w:szCs w:val="26"/>
        </w:rPr>
        <w:t>7</w:t>
      </w:r>
      <w:r w:rsidR="007B3EA3" w:rsidRPr="001C77F7">
        <w:rPr>
          <w:rFonts w:ascii="Times New Roman" w:hAnsi="Times New Roman"/>
          <w:sz w:val="26"/>
          <w:szCs w:val="26"/>
        </w:rPr>
        <w:t xml:space="preserve"> гг.»</w:t>
      </w:r>
      <w:r w:rsidR="000F4052" w:rsidRPr="000F4052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7B3EA3" w:rsidRPr="001C77F7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B3EA3" w:rsidRDefault="00AD00D8" w:rsidP="00AD00D8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>2</w:t>
      </w:r>
      <w:r w:rsidR="007B3EA3">
        <w:rPr>
          <w:szCs w:val="26"/>
        </w:rPr>
        <w:t xml:space="preserve">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7B3EA3" w:rsidRPr="007C51A0" w:rsidRDefault="00AD00D8" w:rsidP="00AD00D8">
      <w:pPr>
        <w:spacing w:line="360" w:lineRule="auto"/>
        <w:ind w:firstLine="709"/>
        <w:jc w:val="both"/>
        <w:rPr>
          <w:szCs w:val="26"/>
        </w:rPr>
      </w:pPr>
      <w:r>
        <w:t>3</w:t>
      </w:r>
      <w:r w:rsidR="007B3EA3">
        <w:t>. Контроль исполнения настоящего постановления оставляю за собой.</w:t>
      </w:r>
    </w:p>
    <w:p w:rsidR="007B3EA3" w:rsidRDefault="007B3EA3" w:rsidP="00AD00D8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7B3EA3" w:rsidRDefault="007B3EA3" w:rsidP="00AD00D8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7B3EA3" w:rsidRDefault="007B3EA3" w:rsidP="00AD00D8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7B3EA3" w:rsidRDefault="007B3EA3" w:rsidP="007B3EA3">
      <w:pPr>
        <w:ind w:left="4962"/>
        <w:jc w:val="center"/>
      </w:pPr>
      <w:r>
        <w:rPr>
          <w:sz w:val="32"/>
          <w:szCs w:val="32"/>
        </w:rP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271A0A">
        <w:rPr>
          <w:i/>
          <w:sz w:val="20"/>
          <w:lang w:eastAsia="en-US"/>
        </w:rPr>
        <w:t xml:space="preserve">    № </w:t>
      </w:r>
      <w:proofErr w:type="gramStart"/>
      <w:r w:rsidR="00271A0A">
        <w:rPr>
          <w:i/>
          <w:sz w:val="20"/>
          <w:lang w:eastAsia="en-US"/>
        </w:rPr>
        <w:t xml:space="preserve">  </w:t>
      </w:r>
      <w:r w:rsidR="0045528B" w:rsidRPr="000339DC">
        <w:rPr>
          <w:i/>
          <w:sz w:val="20"/>
          <w:lang w:eastAsia="en-US"/>
        </w:rPr>
        <w:t>)</w:t>
      </w:r>
      <w:proofErr w:type="gramEnd"/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 xml:space="preserve">Перечень </w:t>
            </w:r>
            <w:r w:rsidRPr="00C218AC">
              <w:rPr>
                <w:szCs w:val="26"/>
              </w:rPr>
              <w:t xml:space="preserve">основных мероприятий муниципальной программы </w:t>
            </w:r>
            <w:r w:rsidRPr="00C218AC">
              <w:rPr>
                <w:szCs w:val="26"/>
              </w:rPr>
              <w:t>и  р</w:t>
            </w:r>
            <w:r w:rsidRPr="00C218AC">
              <w:rPr>
                <w:szCs w:val="26"/>
              </w:rPr>
              <w:t xml:space="preserve">есурсное обеспечение реализации муниципальной программы </w:t>
            </w:r>
            <w:r w:rsidRPr="00C218AC">
              <w:rPr>
                <w:szCs w:val="26"/>
              </w:rPr>
              <w:t>представлены в приложениях № 3 и № 4 к Программе соответственно (прилагается)</w:t>
            </w:r>
          </w:p>
        </w:tc>
      </w:tr>
      <w:tr w:rsidR="00250128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7738FE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 w:rsidR="00BC50A1" w:rsidRPr="00250128">
              <w:rPr>
                <w:szCs w:val="26"/>
              </w:rPr>
              <w:t>ия программы составляет: 11245,8</w:t>
            </w:r>
            <w:r w:rsidRPr="00250128">
              <w:rPr>
                <w:szCs w:val="26"/>
              </w:rPr>
              <w:t>1 тыс. руб., в том числе: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средства Федерального и Краевого бюджета: </w:t>
            </w:r>
            <w:r w:rsidR="00514575" w:rsidRPr="00250128">
              <w:rPr>
                <w:szCs w:val="26"/>
              </w:rPr>
              <w:t>11039,8</w:t>
            </w:r>
            <w:r w:rsidRPr="00250128">
              <w:rPr>
                <w:szCs w:val="26"/>
              </w:rPr>
              <w:t>9 тыс. руб.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="00BC50A1" w:rsidRPr="00250128">
              <w:rPr>
                <w:szCs w:val="26"/>
              </w:rPr>
              <w:t>205,9</w:t>
            </w:r>
            <w:r w:rsidRPr="00250128">
              <w:rPr>
                <w:szCs w:val="26"/>
              </w:rPr>
              <w:t>2 тыс. руб.;</w:t>
            </w:r>
          </w:p>
          <w:p w:rsidR="00271896" w:rsidRPr="00250128" w:rsidRDefault="00271896" w:rsidP="00514575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внебюджетные источники: </w:t>
            </w:r>
            <w:r w:rsidR="00514575" w:rsidRPr="00250128">
              <w:rPr>
                <w:szCs w:val="26"/>
              </w:rPr>
              <w:t>00</w:t>
            </w:r>
            <w:r w:rsidRPr="00250128">
              <w:rPr>
                <w:szCs w:val="26"/>
              </w:rPr>
              <w:t>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>Приложени</w:t>
      </w:r>
      <w:r w:rsidR="00B6554F" w:rsidRPr="00C218AC">
        <w:t>и</w:t>
      </w:r>
      <w:r w:rsidR="00B6554F" w:rsidRPr="00C218AC">
        <w:t xml:space="preserve"> № 1</w:t>
      </w:r>
      <w:r w:rsidR="00B6554F" w:rsidRPr="00C218AC">
        <w:t xml:space="preserve">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</w:t>
      </w:r>
      <w:r w:rsidRPr="00C218AC">
        <w:t xml:space="preserve"> </w:t>
      </w:r>
      <w:r w:rsidRPr="00C218AC"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 w:rsidRPr="00C218AC">
        <w:t>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</w:t>
      </w:r>
      <w:r w:rsidRPr="00C218AC">
        <w:t xml:space="preserve"> </w:t>
      </w:r>
      <w:r w:rsidRPr="00C218AC">
        <w:t>общественных территорий, нуждающихся в благоустройстве (с учетом их физического состояния) и подлежащих бла</w:t>
      </w:r>
      <w:r w:rsidRPr="00C218AC">
        <w:t>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</w:t>
      </w:r>
      <w:r w:rsidRPr="00C218AC">
        <w:t>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Pr="00C218AC">
        <w:t>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</w:t>
      </w:r>
      <w:r w:rsidRPr="00C218AC">
        <w:t xml:space="preserve"> </w:t>
      </w:r>
      <w:r w:rsidRPr="00C218AC"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  <w:r w:rsidRPr="00C218AC">
        <w:t>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>Наименование контрольн</w:t>
      </w:r>
      <w:r w:rsidRPr="00C218AC">
        <w:rPr>
          <w:sz w:val="24"/>
          <w:szCs w:val="24"/>
        </w:rPr>
        <w:t>ых</w:t>
      </w:r>
      <w:r w:rsidRPr="00C218AC">
        <w:rPr>
          <w:sz w:val="24"/>
          <w:szCs w:val="24"/>
        </w:rPr>
        <w:t xml:space="preserve"> событи</w:t>
      </w:r>
      <w:r w:rsidRPr="00C218AC">
        <w:rPr>
          <w:sz w:val="24"/>
          <w:szCs w:val="24"/>
        </w:rPr>
        <w:t xml:space="preserve">й и сроки их </w:t>
      </w:r>
      <w:r w:rsidRPr="00C218AC">
        <w:rPr>
          <w:sz w:val="24"/>
          <w:szCs w:val="24"/>
        </w:rPr>
        <w:t>наступления</w:t>
      </w:r>
      <w:r w:rsidRPr="00C218AC">
        <w:rPr>
          <w:sz w:val="24"/>
          <w:szCs w:val="24"/>
        </w:rPr>
        <w:t xml:space="preserve">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  <w:bookmarkStart w:id="1" w:name="_GoBack"/>
      <w:bookmarkEnd w:id="1"/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</w:t>
      </w:r>
      <w:r w:rsidRPr="00250128">
        <w:rPr>
          <w:szCs w:val="26"/>
        </w:rPr>
        <w:lastRenderedPageBreak/>
        <w:t xml:space="preserve">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969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45528B" w:rsidRPr="00AD00D8" w:rsidRDefault="005F0271" w:rsidP="00AD00D8">
      <w:pPr>
        <w:ind w:left="4678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="0045528B" w:rsidRPr="00AD00D8">
        <w:rPr>
          <w:i/>
          <w:sz w:val="22"/>
          <w:szCs w:val="22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2020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7738FE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250128" w:rsidRDefault="007738FE" w:rsidP="007738FE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250128" w:rsidRDefault="00184B0D" w:rsidP="000C158B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3686"/>
        <w:gridCol w:w="1417"/>
      </w:tblGrid>
      <w:tr w:rsidR="00250128" w:rsidRPr="00250128" w:rsidTr="001E4456">
        <w:trPr>
          <w:trHeight w:val="1523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Pr="00250128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</w:tc>
      </w:tr>
      <w:tr w:rsidR="00250128" w:rsidRPr="00250128" w:rsidTr="001E4456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№</w:t>
            </w:r>
            <w:r w:rsidRPr="00250128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Срок выполнения работ</w:t>
            </w:r>
          </w:p>
        </w:tc>
      </w:tr>
      <w:tr w:rsidR="00250128" w:rsidRPr="00250128" w:rsidTr="001E4456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Новицкое, ул. Лазо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п. Николаевка, 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ул. Фадеева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Фроловка,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 ул. Партизанская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уличных тренажеров, лавочек, обустройство площадки для катания на роликах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250128" w:rsidRPr="00250128" w:rsidTr="00250128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F73FD9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  <w:tr w:rsidR="00250128" w:rsidRPr="00250128" w:rsidTr="00250128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8FE" w:rsidRPr="00250128" w:rsidRDefault="007738FE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4678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5F0271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AD00D8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7655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дворовых </w:t>
            </w:r>
            <w:r w:rsidRPr="00BE0D1E">
              <w:rPr>
                <w:sz w:val="24"/>
                <w:szCs w:val="24"/>
              </w:rPr>
              <w:lastRenderedPageBreak/>
              <w:t>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AD00D8" w:rsidRPr="00AD00D8" w:rsidRDefault="00AD00D8" w:rsidP="00AD00D8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7513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C0F24" w:rsidRPr="00623277" w:rsidRDefault="004C0F24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F93690" w:rsidRPr="00623277" w:rsidTr="00F93690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93690" w:rsidRPr="00623277" w:rsidTr="00F93690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6709D3" w:rsidRDefault="00F93690" w:rsidP="00F93C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09D3">
              <w:rPr>
                <w:b/>
                <w:sz w:val="22"/>
                <w:szCs w:val="22"/>
              </w:rPr>
              <w:t xml:space="preserve">2020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690" w:rsidRPr="00623277" w:rsidTr="00F93690">
        <w:trPr>
          <w:trHeight w:val="196"/>
        </w:trPr>
        <w:tc>
          <w:tcPr>
            <w:tcW w:w="14292" w:type="dxa"/>
            <w:gridSpan w:val="17"/>
          </w:tcPr>
          <w:p w:rsidR="00F93690" w:rsidRDefault="00F93690" w:rsidP="00F93690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1654D2" w:rsidRDefault="00F93690" w:rsidP="00F93C1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6E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6E2E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666C2F" w:rsidRDefault="00F93690" w:rsidP="00F93C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351"/>
        </w:trPr>
        <w:tc>
          <w:tcPr>
            <w:tcW w:w="14292" w:type="dxa"/>
            <w:gridSpan w:val="17"/>
          </w:tcPr>
          <w:p w:rsidR="00F93690" w:rsidRPr="0056639F" w:rsidRDefault="00F93690" w:rsidP="00F936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F93690" w:rsidRPr="00623277" w:rsidTr="00F93690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666C2F" w:rsidRDefault="00F93690" w:rsidP="00F936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630"/>
        </w:trPr>
        <w:tc>
          <w:tcPr>
            <w:tcW w:w="14292" w:type="dxa"/>
            <w:gridSpan w:val="17"/>
          </w:tcPr>
          <w:p w:rsidR="00F93690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3690" w:rsidRPr="00623277" w:rsidTr="00F93690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AD00D8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AD00D8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7513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4678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BE0D1E">
              <w:rPr>
                <w:szCs w:val="26"/>
              </w:rPr>
              <w:lastRenderedPageBreak/>
              <w:t>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AD00D8" w:rsidRPr="00AD00D8" w:rsidRDefault="00AD00D8" w:rsidP="00AD00D8">
      <w:pPr>
        <w:ind w:left="4678"/>
        <w:jc w:val="center"/>
        <w:rPr>
          <w:i/>
          <w:sz w:val="22"/>
          <w:szCs w:val="22"/>
          <w:lang w:eastAsia="en-US"/>
        </w:rPr>
      </w:pPr>
      <w:r w:rsidRPr="00AD00D8">
        <w:rPr>
          <w:i/>
          <w:sz w:val="22"/>
          <w:szCs w:val="22"/>
          <w:lang w:eastAsia="en-US"/>
        </w:rPr>
        <w:t xml:space="preserve">(в </w:t>
      </w:r>
      <w:proofErr w:type="gramStart"/>
      <w:r w:rsidRPr="00AD00D8">
        <w:rPr>
          <w:i/>
          <w:sz w:val="22"/>
          <w:szCs w:val="22"/>
          <w:lang w:eastAsia="en-US"/>
        </w:rPr>
        <w:t>редакции  от</w:t>
      </w:r>
      <w:proofErr w:type="gramEnd"/>
      <w:r w:rsidRPr="00AD00D8">
        <w:rPr>
          <w:i/>
          <w:sz w:val="22"/>
          <w:szCs w:val="22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Pr="00782988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</w:t>
      </w:r>
      <w:r w:rsidR="00D811E8" w:rsidRPr="00782988">
        <w:rPr>
          <w:szCs w:val="26"/>
        </w:rPr>
        <w:t>7</w:t>
      </w:r>
      <w:r w:rsidRPr="00782988">
        <w:rPr>
          <w:szCs w:val="26"/>
        </w:rPr>
        <w:t>годы»</w:t>
      </w:r>
    </w:p>
    <w:p w:rsidR="00A92069" w:rsidRPr="00782988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782988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782988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</w:t>
            </w:r>
            <w:r w:rsidR="004D4291" w:rsidRPr="00782988">
              <w:rPr>
                <w:szCs w:val="26"/>
              </w:rPr>
              <w:t xml:space="preserve">благоустройство территорий, </w:t>
            </w:r>
            <w:r w:rsidRPr="00782988">
              <w:rPr>
                <w:szCs w:val="26"/>
              </w:rPr>
              <w:t>приобретение и установка детских и спортивных площадок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количество </w:t>
            </w:r>
            <w:r w:rsidR="00145282" w:rsidRPr="00782988">
              <w:rPr>
                <w:szCs w:val="26"/>
              </w:rPr>
              <w:t xml:space="preserve">благоустроенных территорий, </w:t>
            </w:r>
            <w:r w:rsidRPr="00782988">
              <w:rPr>
                <w:szCs w:val="26"/>
              </w:rPr>
              <w:t>установленных детских и спортивных площадок, ед.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A92069" w:rsidRPr="00782988" w:rsidRDefault="00145282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</w:t>
            </w:r>
            <w:r w:rsidR="00A92069" w:rsidRPr="00782988">
              <w:rPr>
                <w:szCs w:val="26"/>
              </w:rPr>
              <w:t xml:space="preserve"> годы</w:t>
            </w:r>
          </w:p>
        </w:tc>
      </w:tr>
      <w:tr w:rsidR="0045528B" w:rsidRPr="00782988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Общий объем финансирования муни</w:t>
            </w:r>
            <w:r w:rsidR="002B5EC0" w:rsidRPr="00782988">
              <w:rPr>
                <w:sz w:val="24"/>
                <w:szCs w:val="26"/>
              </w:rPr>
              <w:t>ципальной подпрограммы: 6906,9</w:t>
            </w:r>
            <w:r w:rsidR="00145282" w:rsidRPr="00782988">
              <w:rPr>
                <w:sz w:val="24"/>
                <w:szCs w:val="26"/>
              </w:rPr>
              <w:t>6</w:t>
            </w:r>
            <w:r w:rsidR="002B5EC0" w:rsidRPr="00782988">
              <w:rPr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271A0A" w:rsidRPr="00782988">
              <w:rPr>
                <w:sz w:val="24"/>
                <w:szCs w:val="26"/>
              </w:rPr>
              <w:t>3270,6</w:t>
            </w:r>
            <w:r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субсидии из краевого бюджета </w:t>
            </w:r>
            <w:r w:rsidR="003F64E4" w:rsidRPr="00782988">
              <w:rPr>
                <w:sz w:val="24"/>
                <w:szCs w:val="26"/>
              </w:rPr>
              <w:t xml:space="preserve">6772,5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</w:t>
            </w:r>
            <w:r w:rsidR="00BB1DDF" w:rsidRPr="00782988">
              <w:rPr>
                <w:sz w:val="24"/>
                <w:szCs w:val="26"/>
              </w:rPr>
              <w:t>,00 тыс. рублей;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</w:t>
            </w:r>
            <w:r w:rsidR="00BB1DDF"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Объ</w:t>
            </w:r>
            <w:r w:rsidR="003F64E4" w:rsidRPr="00782988">
              <w:rPr>
                <w:sz w:val="24"/>
                <w:szCs w:val="26"/>
              </w:rPr>
              <w:t xml:space="preserve">ем финансирования  мероприятий подпрограммы </w:t>
            </w:r>
            <w:r w:rsidRPr="00782988">
              <w:rPr>
                <w:sz w:val="24"/>
                <w:szCs w:val="26"/>
              </w:rPr>
              <w:t xml:space="preserve">за счет средств местного бюджета составляет: </w:t>
            </w:r>
            <w:r w:rsidR="003F64E4" w:rsidRPr="00782988">
              <w:rPr>
                <w:sz w:val="24"/>
                <w:szCs w:val="26"/>
              </w:rPr>
              <w:t>13</w:t>
            </w:r>
            <w:r w:rsidR="002B5EC0" w:rsidRPr="00782988">
              <w:rPr>
                <w:sz w:val="24"/>
                <w:szCs w:val="26"/>
              </w:rPr>
              <w:t>4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46</w:t>
            </w:r>
            <w:r w:rsidRPr="00782988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2019 год – 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,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3F64E4" w:rsidRPr="00782988">
              <w:rPr>
                <w:sz w:val="24"/>
                <w:szCs w:val="26"/>
              </w:rPr>
              <w:t>9</w:t>
            </w:r>
            <w:r w:rsidR="002B5EC0" w:rsidRPr="00782988">
              <w:rPr>
                <w:sz w:val="24"/>
                <w:szCs w:val="26"/>
              </w:rPr>
              <w:t>8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1</w:t>
            </w:r>
            <w:r w:rsidRPr="00782988">
              <w:rPr>
                <w:sz w:val="24"/>
                <w:szCs w:val="26"/>
              </w:rPr>
              <w:t xml:space="preserve"> тыс. рублей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 xml:space="preserve">средства заинтересованных лиц 0,00 </w:t>
            </w:r>
            <w:r w:rsidRPr="00782988">
              <w:rPr>
                <w:i/>
                <w:sz w:val="20"/>
                <w:szCs w:val="26"/>
              </w:rPr>
              <w:t xml:space="preserve"> </w:t>
            </w:r>
            <w:r w:rsidRPr="00782988">
              <w:rPr>
                <w:sz w:val="24"/>
                <w:szCs w:val="26"/>
                <w:lang w:bidi="ru-RU"/>
              </w:rPr>
              <w:t>тыс. рублей: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45528B" w:rsidRPr="00782988" w:rsidRDefault="00BB1DDF" w:rsidP="00F93C1F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  <w:tr w:rsidR="0045528B" w:rsidRPr="006A458D" w:rsidTr="004552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lastRenderedPageBreak/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F64E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- количество установленных детских и спортивных площадок:</w:t>
            </w:r>
            <w:r w:rsidR="003F64E4">
              <w:rPr>
                <w:szCs w:val="26"/>
              </w:rPr>
              <w:t>6</w:t>
            </w:r>
            <w:r w:rsidRPr="006A458D">
              <w:rPr>
                <w:szCs w:val="26"/>
              </w:rPr>
              <w:t xml:space="preserve"> ед.</w:t>
            </w:r>
          </w:p>
        </w:tc>
      </w:tr>
    </w:tbl>
    <w:p w:rsidR="00A92069" w:rsidRPr="00BE0D1E" w:rsidRDefault="00B15B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A655AB"/>
    <w:rsid w:val="00A822DB"/>
    <w:rsid w:val="00A92069"/>
    <w:rsid w:val="00AA6AB1"/>
    <w:rsid w:val="00AD00D8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C0AB8"/>
    <w:rsid w:val="00CC52C6"/>
    <w:rsid w:val="00CC53F8"/>
    <w:rsid w:val="00CD174B"/>
    <w:rsid w:val="00D568E7"/>
    <w:rsid w:val="00D811E8"/>
    <w:rsid w:val="00D82240"/>
    <w:rsid w:val="00DB40D2"/>
    <w:rsid w:val="00DC266E"/>
    <w:rsid w:val="00DE38C8"/>
    <w:rsid w:val="00F73FD9"/>
    <w:rsid w:val="00F93690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17E9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CD1-75F9-4711-B74A-CE31AF7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25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22</cp:revision>
  <cp:lastPrinted>2019-12-15T16:47:00Z</cp:lastPrinted>
  <dcterms:created xsi:type="dcterms:W3CDTF">2019-12-23T04:26:00Z</dcterms:created>
  <dcterms:modified xsi:type="dcterms:W3CDTF">2020-02-11T04:29:00Z</dcterms:modified>
</cp:coreProperties>
</file>